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5CF01" w14:textId="77777777" w:rsidR="000A3508" w:rsidRDefault="000A3508">
      <w:pPr>
        <w:spacing w:after="0"/>
        <w:jc w:val="center"/>
        <w:rPr>
          <w:rFonts w:ascii="Verdana" w:eastAsia="Verdana" w:hAnsi="Verdana" w:cs="Verdana"/>
          <w:b/>
          <w:bCs/>
        </w:rPr>
      </w:pPr>
    </w:p>
    <w:p w14:paraId="3445CF02" w14:textId="77777777" w:rsidR="000A3508" w:rsidRDefault="00880DC3">
      <w:pPr>
        <w:spacing w:after="0"/>
        <w:jc w:val="center"/>
        <w:rPr>
          <w:rFonts w:ascii="Verdana" w:eastAsia="Verdana" w:hAnsi="Verdana" w:cs="Verdana"/>
          <w:b/>
          <w:bCs/>
        </w:rPr>
      </w:pPr>
      <w:r>
        <w:rPr>
          <w:rFonts w:ascii="Verdana" w:eastAsia="Verdana" w:hAnsi="Verdana" w:cs="Verdana"/>
          <w:b/>
          <w:bCs/>
        </w:rPr>
        <w:t>RESOLUCIÓN NÚMERO____________________DE________________</w:t>
      </w:r>
    </w:p>
    <w:p w14:paraId="3445CF03" w14:textId="77777777" w:rsidR="000A3508" w:rsidRDefault="000A3508">
      <w:pPr>
        <w:rPr>
          <w:rFonts w:ascii="Verdana" w:eastAsia="Verdana" w:hAnsi="Verdana" w:cs="Verdana"/>
        </w:rPr>
      </w:pPr>
    </w:p>
    <w:p w14:paraId="3445CF04" w14:textId="42683F55" w:rsidR="000A3508" w:rsidRDefault="00880DC3">
      <w:pPr>
        <w:spacing w:line="240" w:lineRule="auto"/>
        <w:jc w:val="center"/>
        <w:rPr>
          <w:rFonts w:ascii="Verdana" w:eastAsia="Verdana" w:hAnsi="Verdana" w:cs="Verdana"/>
        </w:rPr>
      </w:pPr>
      <w:bookmarkStart w:id="0" w:name="_heading=h.gnf03ft0rck5" w:colFirst="0" w:colLast="0"/>
      <w:bookmarkEnd w:id="0"/>
      <w:r>
        <w:rPr>
          <w:rFonts w:ascii="Verdana" w:eastAsia="Verdana" w:hAnsi="Verdana" w:cs="Verdana"/>
        </w:rPr>
        <w:t>“Por la cual se reglamenta el Reporte Obligatorio de Emisiones de Gases de Efecto Invernadero (ROE)</w:t>
      </w:r>
      <w:r w:rsidR="00610AC6">
        <w:rPr>
          <w:rFonts w:ascii="Verdana" w:eastAsia="Verdana" w:hAnsi="Verdana" w:cs="Verdana"/>
        </w:rPr>
        <w:t>, se adoptan el Protocolo de Cuantificación y Reporte</w:t>
      </w:r>
      <w:r w:rsidR="00CB12A5">
        <w:rPr>
          <w:rFonts w:ascii="Verdana" w:eastAsia="Verdana" w:hAnsi="Verdana" w:cs="Verdana"/>
        </w:rPr>
        <w:t xml:space="preserve"> de emisiones</w:t>
      </w:r>
      <w:r w:rsidR="00610AC6">
        <w:rPr>
          <w:rFonts w:ascii="Verdana" w:eastAsia="Verdana" w:hAnsi="Verdana" w:cs="Verdana"/>
        </w:rPr>
        <w:t xml:space="preserve"> del ROE</w:t>
      </w:r>
      <w:r w:rsidR="00CB12A5">
        <w:rPr>
          <w:rFonts w:ascii="Verdana" w:eastAsia="Verdana" w:hAnsi="Verdana" w:cs="Verdana"/>
        </w:rPr>
        <w:t xml:space="preserve">, </w:t>
      </w:r>
      <w:r w:rsidR="00610AC6">
        <w:rPr>
          <w:rFonts w:ascii="Verdana" w:eastAsia="Verdana" w:hAnsi="Verdana" w:cs="Verdana"/>
        </w:rPr>
        <w:t xml:space="preserve">la Guía Técnica de la Plataforma ROE </w:t>
      </w:r>
      <w:r>
        <w:rPr>
          <w:rFonts w:ascii="Verdana" w:eastAsia="Verdana" w:hAnsi="Verdana" w:cs="Verdana"/>
        </w:rPr>
        <w:t>y se dictan otras disposiciones”</w:t>
      </w:r>
    </w:p>
    <w:p w14:paraId="3445CF05" w14:textId="77777777" w:rsidR="000A3508" w:rsidRDefault="000A3508">
      <w:pPr>
        <w:spacing w:line="240" w:lineRule="auto"/>
        <w:jc w:val="both"/>
        <w:rPr>
          <w:rFonts w:ascii="Verdana" w:eastAsia="Verdana" w:hAnsi="Verdana" w:cs="Verdana"/>
        </w:rPr>
      </w:pPr>
    </w:p>
    <w:p w14:paraId="3445CF06" w14:textId="77777777" w:rsidR="000A3508" w:rsidRDefault="00880DC3">
      <w:pPr>
        <w:spacing w:line="240" w:lineRule="auto"/>
        <w:jc w:val="center"/>
        <w:rPr>
          <w:rFonts w:ascii="Verdana" w:eastAsia="Verdana" w:hAnsi="Verdana" w:cs="Verdana"/>
          <w:b/>
          <w:bCs/>
        </w:rPr>
      </w:pPr>
      <w:r>
        <w:rPr>
          <w:rFonts w:ascii="Verdana" w:eastAsia="Verdana" w:hAnsi="Verdana" w:cs="Verdana"/>
          <w:b/>
          <w:bCs/>
        </w:rPr>
        <w:t>El Ministerio de Ambiente y Desarrollo Sostenible, en ejercicio de sus facultades constitucionales y legales, y en especial las conferidas en los numerales 2, 10 11 y 14 del artículo 5 de la Ley 99 de 1993, el numeral 2 del artículo 2 del Decreto Ley 3570 de 2011</w:t>
      </w:r>
      <w:r w:rsidRPr="00346D70">
        <w:rPr>
          <w:rFonts w:ascii="Verdana" w:eastAsia="Verdana" w:hAnsi="Verdana" w:cs="Verdana"/>
          <w:b/>
          <w:bCs/>
        </w:rPr>
        <w:t>, el artículo 31 de la Ley 1931 de 2018</w:t>
      </w:r>
      <w:r>
        <w:rPr>
          <w:rFonts w:ascii="Verdana" w:eastAsia="Verdana" w:hAnsi="Verdana" w:cs="Verdana"/>
          <w:b/>
          <w:bCs/>
        </w:rPr>
        <w:t>, el artículo 16 de la Ley 2169 de 2021 y,</w:t>
      </w:r>
    </w:p>
    <w:p w14:paraId="3445CF07" w14:textId="77777777" w:rsidR="000A3508" w:rsidRDefault="000A3508">
      <w:pPr>
        <w:spacing w:line="240" w:lineRule="auto"/>
        <w:jc w:val="center"/>
        <w:rPr>
          <w:rFonts w:ascii="Verdana" w:eastAsia="Verdana" w:hAnsi="Verdana" w:cs="Verdana"/>
          <w:b/>
          <w:bCs/>
        </w:rPr>
      </w:pPr>
    </w:p>
    <w:p w14:paraId="3445CF08" w14:textId="77777777" w:rsidR="000A3508" w:rsidRDefault="00880DC3">
      <w:pPr>
        <w:spacing w:line="240" w:lineRule="auto"/>
        <w:jc w:val="center"/>
        <w:rPr>
          <w:rFonts w:ascii="Verdana" w:eastAsia="Verdana" w:hAnsi="Verdana" w:cs="Verdana"/>
          <w:b/>
          <w:bCs/>
        </w:rPr>
      </w:pPr>
      <w:r>
        <w:rPr>
          <w:rFonts w:ascii="Verdana" w:eastAsia="Verdana" w:hAnsi="Verdana" w:cs="Verdana"/>
          <w:b/>
          <w:bCs/>
        </w:rPr>
        <w:t>CONSIDERANDO:</w:t>
      </w:r>
    </w:p>
    <w:p w14:paraId="3445CF0A" w14:textId="77777777" w:rsidR="000A3508" w:rsidRDefault="00880DC3">
      <w:pPr>
        <w:spacing w:line="240" w:lineRule="auto"/>
        <w:jc w:val="both"/>
        <w:rPr>
          <w:rFonts w:ascii="Verdana" w:eastAsia="Verdana" w:hAnsi="Verdana" w:cs="Verdana"/>
        </w:rPr>
      </w:pPr>
      <w:r>
        <w:rPr>
          <w:rFonts w:ascii="Verdana" w:eastAsia="Verdana" w:hAnsi="Verdana" w:cs="Verdana"/>
        </w:rPr>
        <w:t xml:space="preserve">Que los artículos 79 y 80 de la Constitución Política consagran el derecho colectivo a gozar de un ambiente sano y el deber del Estado de proteger la diversidad e integridad del ambiente, planificar el manejo y aprovechamiento de los recursos naturales a fin de garantizar su desarrollo sostenible, su conservación, restauración o sustitución y prevenir los factores de deterioro ambiental. </w:t>
      </w:r>
    </w:p>
    <w:p w14:paraId="3445CF0B" w14:textId="77777777" w:rsidR="000A3508" w:rsidRDefault="00880DC3">
      <w:pPr>
        <w:spacing w:line="240" w:lineRule="auto"/>
        <w:jc w:val="both"/>
        <w:rPr>
          <w:rFonts w:ascii="Verdana" w:eastAsia="Verdana" w:hAnsi="Verdana" w:cs="Verdana"/>
        </w:rPr>
      </w:pPr>
      <w:r>
        <w:rPr>
          <w:rFonts w:ascii="Verdana" w:eastAsia="Verdana" w:hAnsi="Verdana" w:cs="Verdana"/>
        </w:rPr>
        <w:t xml:space="preserve">Que la Ley 99 de 1993, por la cual se creó el Ministerio del Medio Ambiente, se reordenó el Sector Público encargado de la gestión y conservación del medio ambiente y los recursos naturales renovables y organizó el Sistema Nacional Ambiental, SINA, dispone en los numerales 10 y 11 del artículo 5 que corresponde a este Ministerio “Determinar las normas ambientales mínimas y las regulaciones de carácter general sobre medio ambiente a las que deberán sujetarse los centros urbanos y asentamientos humanos y las actividades mineras, industriales, de transporte y en general todo servicio o actividad que pueda generar directa o indirectamente daños ambientales” y “Dictar regulaciones de carácter general tendientes a controlar y reducir las contaminaciones </w:t>
      </w:r>
      <w:proofErr w:type="spellStart"/>
      <w:r>
        <w:rPr>
          <w:rFonts w:ascii="Verdana" w:eastAsia="Verdana" w:hAnsi="Verdana" w:cs="Verdana"/>
        </w:rPr>
        <w:t>geosféricas</w:t>
      </w:r>
      <w:proofErr w:type="spellEnd"/>
      <w:r>
        <w:rPr>
          <w:rFonts w:ascii="Verdana" w:eastAsia="Verdana" w:hAnsi="Verdana" w:cs="Verdana"/>
        </w:rPr>
        <w:t>, hídricas, del paisaje, sonoras y atmosféricas, en todo el territorio nacional”.</w:t>
      </w:r>
    </w:p>
    <w:p w14:paraId="3445CF0C" w14:textId="77777777" w:rsidR="000A3508" w:rsidRDefault="00880DC3">
      <w:pPr>
        <w:spacing w:line="240" w:lineRule="auto"/>
        <w:jc w:val="both"/>
        <w:rPr>
          <w:rFonts w:ascii="Verdana" w:eastAsia="Verdana" w:hAnsi="Verdana" w:cs="Verdana"/>
        </w:rPr>
      </w:pPr>
      <w:r>
        <w:rPr>
          <w:rFonts w:ascii="Verdana" w:eastAsia="Verdana" w:hAnsi="Verdana" w:cs="Verdana"/>
        </w:rPr>
        <w:t xml:space="preserve">Que mediante la Ley 164 de 1994 se ratificó la Convención Marco de las Naciones Unidas sobre el Cambio Climático (CMNUCC), adoptada en Nueva York el 9 de mayo de 1992, comprometiéndose los países a formular, aplicar, publicar y actualizar regularmente programas nacionales y, según proceda, regionales, que contengan medidas orientadas a mitigar el cambio climático, y medidas para facilitar la adaptación adecuada al cambio climático. </w:t>
      </w:r>
    </w:p>
    <w:p w14:paraId="7FA809C6" w14:textId="0860FA8E" w:rsidR="009231F6" w:rsidRPr="009231F6" w:rsidRDefault="009231F6" w:rsidP="009231F6">
      <w:pPr>
        <w:spacing w:line="240" w:lineRule="auto"/>
        <w:jc w:val="both"/>
        <w:rPr>
          <w:rFonts w:ascii="Verdana" w:eastAsia="Verdana" w:hAnsi="Verdana" w:cs="Verdana"/>
        </w:rPr>
      </w:pPr>
      <w:r>
        <w:rPr>
          <w:rFonts w:ascii="Verdana" w:eastAsia="Verdana" w:hAnsi="Verdana" w:cs="Verdana"/>
        </w:rPr>
        <w:t>Que, e</w:t>
      </w:r>
      <w:r w:rsidRPr="009231F6">
        <w:rPr>
          <w:rFonts w:ascii="Verdana" w:eastAsia="Verdana" w:hAnsi="Verdana" w:cs="Verdana"/>
        </w:rPr>
        <w:t>n 1997 las Partes de la Convención adoptaron el Protocolo de Kioto, instrumento jurídicamente vinculante que establece compromisos cuantificados de reducción de emisiones para los países incluidos en su Anexo I. El Protocolo fija el objetivo de reducir, en promedio, al menos un 5% de las emisiones totales de seis gases de efecto invernadero: dióxido de carbono (CO₂), metano (CH₄), óxido nitroso (N₂O), hidrofluorocarbonos (HFC), perfluorocarbonos (PFC) y hexafluoruro de azufre (SF₆), durante el primer período de compromiso 2008-2012, en relación con los niveles de 1990.</w:t>
      </w:r>
    </w:p>
    <w:p w14:paraId="6C8BE285" w14:textId="77777777" w:rsidR="009231F6" w:rsidRPr="009231F6" w:rsidRDefault="009231F6" w:rsidP="009231F6">
      <w:pPr>
        <w:spacing w:line="240" w:lineRule="auto"/>
        <w:jc w:val="both"/>
        <w:rPr>
          <w:rFonts w:ascii="Verdana" w:eastAsia="Verdana" w:hAnsi="Verdana" w:cs="Verdana"/>
        </w:rPr>
      </w:pPr>
    </w:p>
    <w:p w14:paraId="26564F02" w14:textId="503312B0" w:rsidR="009231F6" w:rsidRDefault="009231F6" w:rsidP="009231F6">
      <w:pPr>
        <w:spacing w:line="240" w:lineRule="auto"/>
        <w:jc w:val="both"/>
        <w:rPr>
          <w:rFonts w:ascii="Verdana" w:eastAsia="Verdana" w:hAnsi="Verdana" w:cs="Verdana"/>
        </w:rPr>
      </w:pPr>
      <w:r>
        <w:rPr>
          <w:rFonts w:ascii="Verdana" w:eastAsia="Verdana" w:hAnsi="Verdana" w:cs="Verdana"/>
        </w:rPr>
        <w:lastRenderedPageBreak/>
        <w:t>Que p</w:t>
      </w:r>
      <w:r w:rsidRPr="009231F6">
        <w:rPr>
          <w:rFonts w:ascii="Verdana" w:eastAsia="Verdana" w:hAnsi="Verdana" w:cs="Verdana"/>
        </w:rPr>
        <w:t xml:space="preserve">osteriormente, como parte de la evolución del régimen internacional de cambio climático, la Enmienda de Doha al Protocolo de Kioto, adoptada en 2012, incorporó el </w:t>
      </w:r>
      <w:proofErr w:type="spellStart"/>
      <w:r w:rsidRPr="009231F6">
        <w:rPr>
          <w:rFonts w:ascii="Verdana" w:eastAsia="Verdana" w:hAnsi="Verdana" w:cs="Verdana"/>
        </w:rPr>
        <w:t>Trifluoruro</w:t>
      </w:r>
      <w:proofErr w:type="spellEnd"/>
      <w:r w:rsidRPr="009231F6">
        <w:rPr>
          <w:rFonts w:ascii="Verdana" w:eastAsia="Verdana" w:hAnsi="Verdana" w:cs="Verdana"/>
        </w:rPr>
        <w:t xml:space="preserve"> de nitrógeno (NF₃)  dentro de los gases de efecto invernadero objeto de los compromisos y del reporte internacional. En concordancia con esta evolución, las “Modalidades, Procedimientos y Directrices para el Marco Reforzado de Transparencia del Acuerdo de París”, adoptadas mediante la Decisión 18/CMA.1, establecen que los inventarios nacionales de gases de efecto invernadero deberán incluir el reporte de siete gases, incorporando el NF₃ junto con los seis gases previamente considerados. De igual forma, el Panel Intergubernamental sobre Cambio Climático (IPCC) incorporó metodologías específicas para la estimación de las emisiones de este gas mediante el documento Refinamiento de 2019 de las Directrices del IPCC de 2006 para los Inventarios Nacionales de Gases de Efecto Invernadero (2019 </w:t>
      </w:r>
      <w:proofErr w:type="spellStart"/>
      <w:r w:rsidRPr="009231F6">
        <w:rPr>
          <w:rFonts w:ascii="Verdana" w:eastAsia="Verdana" w:hAnsi="Verdana" w:cs="Verdana"/>
        </w:rPr>
        <w:t>Refinement</w:t>
      </w:r>
      <w:proofErr w:type="spellEnd"/>
      <w:r w:rsidRPr="009231F6">
        <w:rPr>
          <w:rFonts w:ascii="Verdana" w:eastAsia="Verdana" w:hAnsi="Verdana" w:cs="Verdana"/>
        </w:rPr>
        <w:t xml:space="preserve"> </w:t>
      </w:r>
      <w:proofErr w:type="spellStart"/>
      <w:r w:rsidRPr="009231F6">
        <w:rPr>
          <w:rFonts w:ascii="Verdana" w:eastAsia="Verdana" w:hAnsi="Verdana" w:cs="Verdana"/>
        </w:rPr>
        <w:t>to</w:t>
      </w:r>
      <w:proofErr w:type="spellEnd"/>
      <w:r w:rsidRPr="009231F6">
        <w:rPr>
          <w:rFonts w:ascii="Verdana" w:eastAsia="Verdana" w:hAnsi="Verdana" w:cs="Verdana"/>
        </w:rPr>
        <w:t xml:space="preserve"> </w:t>
      </w:r>
      <w:proofErr w:type="spellStart"/>
      <w:r w:rsidRPr="009231F6">
        <w:rPr>
          <w:rFonts w:ascii="Verdana" w:eastAsia="Verdana" w:hAnsi="Verdana" w:cs="Verdana"/>
        </w:rPr>
        <w:t>the</w:t>
      </w:r>
      <w:proofErr w:type="spellEnd"/>
      <w:r w:rsidRPr="009231F6">
        <w:rPr>
          <w:rFonts w:ascii="Verdana" w:eastAsia="Verdana" w:hAnsi="Verdana" w:cs="Verdana"/>
        </w:rPr>
        <w:t xml:space="preserve"> 2006 IPCC </w:t>
      </w:r>
      <w:proofErr w:type="spellStart"/>
      <w:r w:rsidRPr="009231F6">
        <w:rPr>
          <w:rFonts w:ascii="Verdana" w:eastAsia="Verdana" w:hAnsi="Verdana" w:cs="Verdana"/>
        </w:rPr>
        <w:t>Guidelines</w:t>
      </w:r>
      <w:proofErr w:type="spellEnd"/>
      <w:r w:rsidRPr="009231F6">
        <w:rPr>
          <w:rFonts w:ascii="Verdana" w:eastAsia="Verdana" w:hAnsi="Verdana" w:cs="Verdana"/>
        </w:rPr>
        <w:t xml:space="preserve"> </w:t>
      </w:r>
      <w:proofErr w:type="spellStart"/>
      <w:r w:rsidRPr="009231F6">
        <w:rPr>
          <w:rFonts w:ascii="Verdana" w:eastAsia="Verdana" w:hAnsi="Verdana" w:cs="Verdana"/>
        </w:rPr>
        <w:t>for</w:t>
      </w:r>
      <w:proofErr w:type="spellEnd"/>
      <w:r w:rsidRPr="009231F6">
        <w:rPr>
          <w:rFonts w:ascii="Verdana" w:eastAsia="Verdana" w:hAnsi="Verdana" w:cs="Verdana"/>
        </w:rPr>
        <w:t xml:space="preserve"> </w:t>
      </w:r>
      <w:proofErr w:type="spellStart"/>
      <w:r w:rsidRPr="009231F6">
        <w:rPr>
          <w:rFonts w:ascii="Verdana" w:eastAsia="Verdana" w:hAnsi="Verdana" w:cs="Verdana"/>
        </w:rPr>
        <w:t>National</w:t>
      </w:r>
      <w:proofErr w:type="spellEnd"/>
      <w:r w:rsidRPr="009231F6">
        <w:rPr>
          <w:rFonts w:ascii="Verdana" w:eastAsia="Verdana" w:hAnsi="Verdana" w:cs="Verdana"/>
        </w:rPr>
        <w:t xml:space="preserve"> Greenhouse Gas </w:t>
      </w:r>
      <w:proofErr w:type="spellStart"/>
      <w:r w:rsidRPr="009231F6">
        <w:rPr>
          <w:rFonts w:ascii="Verdana" w:eastAsia="Verdana" w:hAnsi="Verdana" w:cs="Verdana"/>
        </w:rPr>
        <w:t>Inventories</w:t>
      </w:r>
      <w:proofErr w:type="spellEnd"/>
      <w:r w:rsidRPr="009231F6">
        <w:rPr>
          <w:rFonts w:ascii="Verdana" w:eastAsia="Verdana" w:hAnsi="Verdana" w:cs="Verdana"/>
        </w:rPr>
        <w:t>).</w:t>
      </w:r>
    </w:p>
    <w:p w14:paraId="3445CF0D" w14:textId="77777777" w:rsidR="000A3508" w:rsidRDefault="00880DC3">
      <w:pPr>
        <w:spacing w:line="240" w:lineRule="auto"/>
        <w:jc w:val="both"/>
        <w:rPr>
          <w:rFonts w:ascii="Verdana" w:eastAsia="Verdana" w:hAnsi="Verdana" w:cs="Verdana"/>
        </w:rPr>
      </w:pPr>
      <w:r>
        <w:rPr>
          <w:rFonts w:ascii="Verdana" w:eastAsia="Verdana" w:hAnsi="Verdana" w:cs="Verdana"/>
        </w:rPr>
        <w:t xml:space="preserve">Que el artículo 2 del Decreto Ley 3570 de 2011, por el cual fueron modificados los objetivos y la estructura del Ministerio de Ambiente y Desarrollo Sostenible y se integró el sector administrativo de ambiente y desarrollo sostenible, dispuso que, además de las funciones determinadas en la Constitución Política y en el artículo 59 de la Ley 489 de 1998 y en las demás leyes, este Ministerio tiene, entre otras funciones, la de “2. Diseñar y regular las políticas públicas y las condiciones generales para el saneamiento del ambiente, y el uso, manejo, aprovechamiento, conservación, restauración y recuperación de los recursos naturales, a fin de impedir, reprimir, eliminar o mitigar el impacto de actividades contaminantes, deteriorantes o destructivas del entorno o del patrimonio natural, en todos los sectores económicos y productivos.” </w:t>
      </w:r>
    </w:p>
    <w:p w14:paraId="3445CF0E" w14:textId="77777777" w:rsidR="000A3508" w:rsidRDefault="00880DC3">
      <w:pPr>
        <w:spacing w:line="240" w:lineRule="auto"/>
        <w:jc w:val="both"/>
        <w:rPr>
          <w:rFonts w:ascii="Verdana" w:eastAsia="Verdana" w:hAnsi="Verdana" w:cs="Verdana"/>
        </w:rPr>
      </w:pPr>
      <w:r>
        <w:rPr>
          <w:rFonts w:ascii="Verdana" w:eastAsia="Verdana" w:hAnsi="Verdana" w:cs="Verdana"/>
        </w:rPr>
        <w:t>Que mediante la Ley 1844 de 2017 se aprobó el Acuerdo de París suscrito por Colombia, que busca reforzar la respuesta mundial a la amenaza del cambio climático, comprometiéndose los Estados Parte a fortalecer la gestión para mitigar la emisión de gases de efecto invernadero y la adaptación y resiliencia ante los efectos adversos del cambio climático.</w:t>
      </w:r>
    </w:p>
    <w:p w14:paraId="3445CF0F" w14:textId="77777777" w:rsidR="000A3508" w:rsidRDefault="00880DC3">
      <w:pPr>
        <w:spacing w:line="240" w:lineRule="auto"/>
        <w:jc w:val="both"/>
        <w:rPr>
          <w:rFonts w:ascii="Verdana" w:eastAsia="Verdana" w:hAnsi="Verdana" w:cs="Verdana"/>
        </w:rPr>
      </w:pPr>
      <w:r>
        <w:rPr>
          <w:rFonts w:ascii="Verdana" w:eastAsia="Verdana" w:hAnsi="Verdana" w:cs="Verdana"/>
        </w:rPr>
        <w:t>Que la Política Nacional de Cambio Climático adoptada en 2017 estableció que, para fortalecer la gestión del cambio climático, deberán desarrollarse y utilizarse instrumentos económicos y financieros como medio para avanzar hacia un desarrollo bajo en carbono y resiliente al clima.</w:t>
      </w:r>
    </w:p>
    <w:p w14:paraId="3445CF10" w14:textId="54BA4B95" w:rsidR="000A3508" w:rsidRDefault="00880DC3">
      <w:pPr>
        <w:spacing w:line="240" w:lineRule="auto"/>
        <w:jc w:val="both"/>
        <w:rPr>
          <w:rFonts w:ascii="Verdana" w:eastAsia="Verdana" w:hAnsi="Verdana" w:cs="Verdana"/>
        </w:rPr>
      </w:pPr>
      <w:r>
        <w:rPr>
          <w:rFonts w:ascii="Verdana" w:eastAsia="Verdana" w:hAnsi="Verdana" w:cs="Verdana"/>
        </w:rPr>
        <w:t xml:space="preserve">Que la Política Nacional de Cambio Climático, en su línea instrumental relacionada con </w:t>
      </w:r>
      <w:sdt>
        <w:sdtPr>
          <w:tag w:val="goog_rdk_0"/>
          <w:id w:val="-218939108"/>
        </w:sdtPr>
        <w:sdtContent>
          <w:r>
            <w:rPr>
              <w:rFonts w:ascii="Verdana" w:eastAsia="Verdana" w:hAnsi="Verdana" w:cs="Verdana"/>
            </w:rPr>
            <w:t>i</w:t>
          </w:r>
        </w:sdtContent>
      </w:sdt>
      <w:r>
        <w:rPr>
          <w:rFonts w:ascii="Verdana" w:eastAsia="Verdana" w:hAnsi="Verdana" w:cs="Verdana"/>
        </w:rPr>
        <w:t>nformación, ciencia, tecnología e innovación, enfatizó en los retos asociados a la información que enfrenta la gestión del cambio climático, y plantea la necesidad de contar con información de alta calidad para la toma de decisiones, que debe integrarse en los procesos de planificación nacionales, subnacionales y sectoriales. Esta información incluye la cuantificación de emisiones para comprender el progreso hacia las metas, utilizando métodos estándar de cuantificación y evaluación, y promueve un enfoque sectorial para la gestión del cambio climático.</w:t>
      </w:r>
    </w:p>
    <w:p w14:paraId="3445CF11" w14:textId="38549D40" w:rsidR="000A3508" w:rsidRDefault="00880DC3">
      <w:pPr>
        <w:spacing w:line="240" w:lineRule="auto"/>
        <w:jc w:val="both"/>
        <w:rPr>
          <w:rFonts w:ascii="Verdana" w:eastAsia="Verdana" w:hAnsi="Verdana" w:cs="Verdana"/>
        </w:rPr>
      </w:pPr>
      <w:r>
        <w:rPr>
          <w:rFonts w:ascii="Verdana" w:eastAsia="Verdana" w:hAnsi="Verdana" w:cs="Verdana"/>
        </w:rPr>
        <w:t xml:space="preserve">Que </w:t>
      </w:r>
      <w:r w:rsidR="00E50E19">
        <w:rPr>
          <w:rFonts w:ascii="Verdana" w:eastAsia="Verdana" w:hAnsi="Verdana" w:cs="Verdana"/>
        </w:rPr>
        <w:t>Colombia</w:t>
      </w:r>
      <w:r>
        <w:rPr>
          <w:rFonts w:ascii="Verdana" w:eastAsia="Verdana" w:hAnsi="Verdana" w:cs="Verdana"/>
        </w:rPr>
        <w:t xml:space="preserve">, </w:t>
      </w:r>
      <w:r w:rsidR="00E50E19">
        <w:rPr>
          <w:rFonts w:ascii="Verdana" w:eastAsia="Verdana" w:hAnsi="Verdana" w:cs="Verdana"/>
        </w:rPr>
        <w:t xml:space="preserve">en el marco de la </w:t>
      </w:r>
      <w:r>
        <w:rPr>
          <w:rFonts w:ascii="Verdana" w:eastAsia="Verdana" w:hAnsi="Verdana" w:cs="Verdana"/>
        </w:rPr>
        <w:t xml:space="preserve"> Convención Marco de las Naciones Unidas sobre el Cambio Climático </w:t>
      </w:r>
      <w:r w:rsidR="00E50E19">
        <w:rPr>
          <w:rFonts w:ascii="Verdana" w:eastAsia="Verdana" w:hAnsi="Verdana" w:cs="Verdana"/>
        </w:rPr>
        <w:t>(</w:t>
      </w:r>
      <w:r>
        <w:rPr>
          <w:rFonts w:ascii="Verdana" w:eastAsia="Verdana" w:hAnsi="Verdana" w:cs="Verdana"/>
        </w:rPr>
        <w:t>CMNUCC</w:t>
      </w:r>
      <w:r w:rsidR="00E50E19">
        <w:rPr>
          <w:rFonts w:ascii="Verdana" w:eastAsia="Verdana" w:hAnsi="Verdana" w:cs="Verdana"/>
        </w:rPr>
        <w:t xml:space="preserve">) y el Acuerdo de París, actualizó su </w:t>
      </w:r>
      <w:r>
        <w:rPr>
          <w:rFonts w:ascii="Verdana" w:eastAsia="Verdana" w:hAnsi="Verdana" w:cs="Verdana"/>
        </w:rPr>
        <w:t>Contribución Determinada a Nivel Nacional de Colombia (NDC)</w:t>
      </w:r>
      <w:r w:rsidR="00E50E19">
        <w:rPr>
          <w:rFonts w:ascii="Verdana" w:eastAsia="Verdana" w:hAnsi="Verdana" w:cs="Verdana"/>
        </w:rPr>
        <w:t xml:space="preserve"> en 2020 y posteriormente presentó su NDC 3.0 en el año 2025, en la cual ratificó</w:t>
      </w:r>
      <w:r w:rsidR="0066723E">
        <w:rPr>
          <w:rFonts w:ascii="Verdana" w:eastAsia="Verdana" w:hAnsi="Verdana" w:cs="Verdana"/>
        </w:rPr>
        <w:t xml:space="preserve"> la meta de mitigación de gases de efecto invernadero a 2030 y definió su meta a 2035, bajo un enfoque de nivel fijo de emisiones y en coherencia con la trayectoria </w:t>
      </w:r>
      <w:r w:rsidR="0066723E">
        <w:rPr>
          <w:rFonts w:ascii="Verdana" w:eastAsia="Verdana" w:hAnsi="Verdana" w:cs="Verdana"/>
        </w:rPr>
        <w:lastRenderedPageBreak/>
        <w:t>hacia la carbono neutralidad al 2050; y que, en este contexto,</w:t>
      </w:r>
      <w:r w:rsidR="0066723E" w:rsidRPr="0066723E">
        <w:rPr>
          <w:rFonts w:ascii="Verdana" w:eastAsia="Verdana" w:hAnsi="Verdana" w:cs="Verdana"/>
        </w:rPr>
        <w:t xml:space="preserve"> </w:t>
      </w:r>
      <w:r w:rsidR="0066723E" w:rsidRPr="00E50E19">
        <w:rPr>
          <w:rFonts w:ascii="Verdana" w:eastAsia="Verdana" w:hAnsi="Verdana" w:cs="Verdana"/>
        </w:rPr>
        <w:t>se reconoce la necesidad de fortalecer los instrumentos de gestión y los sistemas de información que permitan el monitoreo, reporte y verificación de emisiones de GEI, como insumo para el seguimiento y cumplimiento de dichos compromisos</w:t>
      </w:r>
      <w:r w:rsidR="003A762C">
        <w:rPr>
          <w:rFonts w:ascii="Verdana" w:eastAsia="Verdana" w:hAnsi="Verdana" w:cs="Verdana"/>
        </w:rPr>
        <w:t xml:space="preserve">, </w:t>
      </w:r>
      <w:r w:rsidR="003A762C" w:rsidRPr="003A762C">
        <w:rPr>
          <w:rFonts w:ascii="Verdana" w:eastAsia="Verdana" w:hAnsi="Verdana" w:cs="Verdana"/>
        </w:rPr>
        <w:t>para lo cual el Reporte Obligatorio de Emisiones de GEI (ROE) constituye un instrumento fundamental para mejorar la disponibilidad, calidad y trazabilidad de la</w:t>
      </w:r>
      <w:r w:rsidR="003A762C">
        <w:rPr>
          <w:rFonts w:ascii="Verdana" w:eastAsia="Verdana" w:hAnsi="Verdana" w:cs="Verdana"/>
        </w:rPr>
        <w:t xml:space="preserve"> </w:t>
      </w:r>
      <w:r w:rsidR="003A762C" w:rsidRPr="003A762C">
        <w:rPr>
          <w:rFonts w:ascii="Verdana" w:eastAsia="Verdana" w:hAnsi="Verdana" w:cs="Verdana"/>
        </w:rPr>
        <w:t xml:space="preserve">información </w:t>
      </w:r>
      <w:r w:rsidR="003A762C">
        <w:rPr>
          <w:rFonts w:ascii="Verdana" w:eastAsia="Verdana" w:hAnsi="Verdana" w:cs="Verdana"/>
        </w:rPr>
        <w:t>de las emisiones de GEI generadas por las personas jurídicas públicas, privadas o mixtas</w:t>
      </w:r>
      <w:r>
        <w:rPr>
          <w:rFonts w:ascii="Verdana" w:eastAsia="Verdana" w:hAnsi="Verdana" w:cs="Verdana"/>
        </w:rPr>
        <w:t>.</w:t>
      </w:r>
    </w:p>
    <w:p w14:paraId="3445CF12" w14:textId="56B819A4" w:rsidR="000A3508" w:rsidRDefault="00880DC3">
      <w:pPr>
        <w:spacing w:line="240" w:lineRule="auto"/>
        <w:jc w:val="both"/>
        <w:rPr>
          <w:rFonts w:ascii="Verdana" w:eastAsia="Verdana" w:hAnsi="Verdana" w:cs="Verdana"/>
        </w:rPr>
      </w:pPr>
      <w:r>
        <w:rPr>
          <w:rFonts w:ascii="Verdana" w:eastAsia="Verdana" w:hAnsi="Verdana" w:cs="Verdana"/>
        </w:rPr>
        <w:t>Que la Ley 1931 de 2018, establece directrices para la gestión del cambio climático,</w:t>
      </w:r>
      <w:r w:rsidR="00C95033">
        <w:rPr>
          <w:rFonts w:ascii="Verdana" w:eastAsia="Verdana" w:hAnsi="Verdana" w:cs="Verdana"/>
        </w:rPr>
        <w:t xml:space="preserve"> y</w:t>
      </w:r>
      <w:r>
        <w:rPr>
          <w:rFonts w:ascii="Verdana" w:eastAsia="Verdana" w:hAnsi="Verdana" w:cs="Verdana"/>
        </w:rPr>
        <w:t xml:space="preserve"> en su artículo 30 creó el Programa Nacional de Cupos Transables de Emisión de Gases de Efecto Invernadero (PNCTE) en virtud del cual se establecerán y subastarán cupos transables de emisión de GEI.</w:t>
      </w:r>
    </w:p>
    <w:p w14:paraId="3267168E" w14:textId="20F87AD2" w:rsidR="005B4537" w:rsidRDefault="005B4537">
      <w:pPr>
        <w:spacing w:line="240" w:lineRule="auto"/>
        <w:jc w:val="both"/>
        <w:rPr>
          <w:rFonts w:ascii="Verdana" w:eastAsia="Verdana" w:hAnsi="Verdana" w:cs="Verdana"/>
        </w:rPr>
      </w:pPr>
      <w:r w:rsidRPr="00E56BB6">
        <w:rPr>
          <w:rFonts w:ascii="Verdana" w:eastAsia="Verdana" w:hAnsi="Verdana" w:cs="Verdana"/>
        </w:rPr>
        <w:t>Que el artículo 33 de la Ley 1931 de 2018 estableció la destinación de los recursos generados por el Programa Nacional de Cupos Transables de Emisión de Gases de Efecto Invernadero (PNCTE), incluyendo aquellos provenientes de la subasta de cupos transables de emisión y de las sanciones pecuniarias impuestas a los agentes regulados, los cuales serán destinados, entre otros fines, a la administración y funcionamiento del PNCTE y del Reporte Obligatorio de Emisiones de GEI (ROE) de que trata el artículo 16 de la Ley 2169 de 2021.</w:t>
      </w:r>
    </w:p>
    <w:p w14:paraId="3445CF13" w14:textId="77777777" w:rsidR="000A3508" w:rsidRDefault="00880DC3">
      <w:pPr>
        <w:spacing w:line="240" w:lineRule="auto"/>
        <w:jc w:val="both"/>
        <w:rPr>
          <w:rFonts w:ascii="Verdana" w:eastAsia="Verdana" w:hAnsi="Verdana" w:cs="Verdana"/>
        </w:rPr>
      </w:pPr>
      <w:r>
        <w:rPr>
          <w:rFonts w:ascii="Verdana" w:eastAsia="Verdana" w:hAnsi="Verdana" w:cs="Verdana"/>
        </w:rPr>
        <w:t>Que el artículo 31 de la Ley 1931 de 2018 estableció que el Ministerio de Ambiente y Desarrollo Sostenible regulará las condiciones y requerimientos para la verificación, certificación y registro de las emisiones, reducciones de emisiones y remociones de gases efecto invernadero (GEI). Igualmente establecerá los procedimientos de seguimiento y control del cumplimiento de las obligaciones de respaldo de emisiones por parte de los agentes regulados bajo el PNCTE.</w:t>
      </w:r>
    </w:p>
    <w:p w14:paraId="3445CF14" w14:textId="77777777" w:rsidR="000A3508" w:rsidRDefault="00880DC3">
      <w:pPr>
        <w:spacing w:line="240" w:lineRule="auto"/>
        <w:jc w:val="both"/>
        <w:rPr>
          <w:rFonts w:ascii="Verdana" w:eastAsia="Verdana" w:hAnsi="Verdana" w:cs="Verdana"/>
        </w:rPr>
      </w:pPr>
      <w:r>
        <w:rPr>
          <w:rFonts w:ascii="Verdana" w:eastAsia="Verdana" w:hAnsi="Verdana" w:cs="Verdana"/>
        </w:rPr>
        <w:t>Que el 22 de diciembre de 2021 se sancionó la Ley 2169 en la cual se establecieron las metas y medidas mínimas intersectoriales a corto, mediano y largo plazo requeridas para alcanzar la carbono neutralidad, la resiliencia climática y el desarrollo bajo en carbono.</w:t>
      </w:r>
    </w:p>
    <w:p w14:paraId="3445CF15" w14:textId="541E9D07" w:rsidR="000A3508" w:rsidRDefault="00880DC3">
      <w:pPr>
        <w:spacing w:line="240" w:lineRule="auto"/>
        <w:jc w:val="both"/>
        <w:rPr>
          <w:rFonts w:ascii="Verdana" w:eastAsia="Verdana" w:hAnsi="Verdana" w:cs="Verdana"/>
        </w:rPr>
      </w:pPr>
      <w:r>
        <w:rPr>
          <w:rFonts w:ascii="Verdana" w:eastAsia="Verdana" w:hAnsi="Verdana" w:cs="Verdana"/>
        </w:rPr>
        <w:t>Que como parte de las medidas para la promoción y desarrollo de los mercados de carbono el artículo 16 de la Ley 2169 de 2021 estableció el Reporte Obligatorio de Emisiones de GE</w:t>
      </w:r>
      <w:r w:rsidR="00184A6F">
        <w:rPr>
          <w:rFonts w:ascii="Verdana" w:eastAsia="Verdana" w:hAnsi="Verdana" w:cs="Verdana"/>
        </w:rPr>
        <w:t>I</w:t>
      </w:r>
      <w:r>
        <w:rPr>
          <w:rFonts w:ascii="Verdana" w:eastAsia="Verdana" w:hAnsi="Verdana" w:cs="Verdana"/>
        </w:rPr>
        <w:t xml:space="preserve"> (ROE) en el cual las personas jurídicas públicas, privadas o mixtas, deberán reportar de forma obligatoria sus emisiones directas e indirectas de GE</w:t>
      </w:r>
      <w:r w:rsidR="00184A6F">
        <w:rPr>
          <w:rFonts w:ascii="Verdana" w:eastAsia="Verdana" w:hAnsi="Verdana" w:cs="Verdana"/>
        </w:rPr>
        <w:t>I</w:t>
      </w:r>
      <w:r>
        <w:rPr>
          <w:rFonts w:ascii="Verdana" w:eastAsia="Verdana" w:hAnsi="Verdana" w:cs="Verdana"/>
        </w:rPr>
        <w:t xml:space="preserve"> y la información y documentación para la elaboración de inventarios de GEI, teniendo en cuenta los criterios que defina el Ministerio de Ambiente y Desarrollo Sostenible, considerando, entre otros, el nivel de emisiones de GE</w:t>
      </w:r>
      <w:r w:rsidR="00184A6F">
        <w:rPr>
          <w:rFonts w:ascii="Verdana" w:eastAsia="Verdana" w:hAnsi="Verdana" w:cs="Verdana"/>
        </w:rPr>
        <w:t>I</w:t>
      </w:r>
      <w:r>
        <w:rPr>
          <w:rFonts w:ascii="Verdana" w:eastAsia="Verdana" w:hAnsi="Verdana" w:cs="Verdana"/>
        </w:rPr>
        <w:t xml:space="preserve"> y el tamaño de las empresas. </w:t>
      </w:r>
    </w:p>
    <w:p w14:paraId="3445CF17" w14:textId="357B04F6" w:rsidR="000A3508" w:rsidRDefault="00880DC3">
      <w:pPr>
        <w:spacing w:line="240" w:lineRule="auto"/>
        <w:jc w:val="both"/>
        <w:rPr>
          <w:rFonts w:ascii="Verdana" w:eastAsia="Verdana" w:hAnsi="Verdana" w:cs="Verdana"/>
        </w:rPr>
      </w:pPr>
      <w:r>
        <w:rPr>
          <w:rFonts w:ascii="Verdana" w:eastAsia="Verdana" w:hAnsi="Verdana" w:cs="Verdana"/>
        </w:rPr>
        <w:t>Que así mismo, el artículo 16 de la Ley 2169 de 2021 también estableció que el ROE será parte del Sistema de Información Ambiental de Colombia (SIAC) para lo cual el Ministerio de Ambiente y Desarrollo Sostenible determinará las metodologías para el cálculo de las emisiones directas e indirectas que deberán ser reportadas, así como los métodos, instrumentos, procesos y periodicidad del reporte de las emisiones de GE</w:t>
      </w:r>
      <w:r w:rsidR="00184A6F">
        <w:rPr>
          <w:rFonts w:ascii="Verdana" w:eastAsia="Verdana" w:hAnsi="Verdana" w:cs="Verdana"/>
        </w:rPr>
        <w:t>I</w:t>
      </w:r>
      <w:r>
        <w:rPr>
          <w:rFonts w:ascii="Verdana" w:eastAsia="Verdana" w:hAnsi="Verdana" w:cs="Verdana"/>
        </w:rPr>
        <w:t xml:space="preserve"> y la información y documentación para la elaboración de inventarios de GEI.</w:t>
      </w:r>
    </w:p>
    <w:p w14:paraId="3445CF18" w14:textId="5089AAD1" w:rsidR="000A3508" w:rsidRDefault="00880DC3">
      <w:pPr>
        <w:spacing w:line="240" w:lineRule="auto"/>
        <w:jc w:val="both"/>
        <w:rPr>
          <w:rFonts w:ascii="Verdana" w:eastAsia="Verdana" w:hAnsi="Verdana" w:cs="Verdana"/>
        </w:rPr>
      </w:pPr>
      <w:r>
        <w:rPr>
          <w:rFonts w:ascii="Verdana" w:eastAsia="Verdana" w:hAnsi="Verdana" w:cs="Verdana"/>
        </w:rPr>
        <w:t xml:space="preserve">Que el Parágrafo del </w:t>
      </w:r>
      <w:r w:rsidR="00FE5621">
        <w:rPr>
          <w:rFonts w:ascii="Verdana" w:eastAsia="Verdana" w:hAnsi="Verdana" w:cs="Verdana"/>
        </w:rPr>
        <w:t>a</w:t>
      </w:r>
      <w:r>
        <w:rPr>
          <w:rFonts w:ascii="Verdana" w:eastAsia="Verdana" w:hAnsi="Verdana" w:cs="Verdana"/>
        </w:rPr>
        <w:t>rtículo 16 de la Ley 2</w:t>
      </w:r>
      <w:sdt>
        <w:sdtPr>
          <w:tag w:val="goog_rdk_2"/>
          <w:id w:val="529799362"/>
        </w:sdtPr>
        <w:sdtContent>
          <w:r>
            <w:rPr>
              <w:rFonts w:ascii="Verdana" w:eastAsia="Verdana" w:hAnsi="Verdana" w:cs="Verdana"/>
            </w:rPr>
            <w:t>1</w:t>
          </w:r>
        </w:sdtContent>
      </w:sdt>
      <w:r>
        <w:rPr>
          <w:rFonts w:ascii="Verdana" w:eastAsia="Verdana" w:hAnsi="Verdana" w:cs="Verdana"/>
        </w:rPr>
        <w:t>69 de 2021, creó la Plataforma de Reporte Obligatorio de Emisiones de GE</w:t>
      </w:r>
      <w:r w:rsidR="00184A6F">
        <w:rPr>
          <w:rFonts w:ascii="Verdana" w:eastAsia="Verdana" w:hAnsi="Verdana" w:cs="Verdana"/>
        </w:rPr>
        <w:t>I</w:t>
      </w:r>
      <w:r>
        <w:rPr>
          <w:rFonts w:ascii="Verdana" w:eastAsia="Verdana" w:hAnsi="Verdana" w:cs="Verdana"/>
        </w:rPr>
        <w:t xml:space="preserve"> que será parte del Sistema de Información Ambiental de Colombia (SIAC).</w:t>
      </w:r>
    </w:p>
    <w:p w14:paraId="3445CF19" w14:textId="0B8BF132" w:rsidR="000A3508" w:rsidRDefault="00880DC3">
      <w:pPr>
        <w:spacing w:line="240" w:lineRule="auto"/>
        <w:jc w:val="both"/>
        <w:rPr>
          <w:rFonts w:ascii="Verdana" w:eastAsia="Verdana" w:hAnsi="Verdana" w:cs="Verdana"/>
        </w:rPr>
      </w:pPr>
      <w:r>
        <w:rPr>
          <w:rFonts w:ascii="Verdana" w:eastAsia="Verdana" w:hAnsi="Verdana" w:cs="Verdana"/>
        </w:rPr>
        <w:t xml:space="preserve">La información que se incluya en el ROE será de acceso público  </w:t>
      </w:r>
      <w:sdt>
        <w:sdtPr>
          <w:tag w:val="goog_rdk_3"/>
          <w:id w:val="2055392643"/>
          <w:showingPlcHdr/>
        </w:sdtPr>
        <w:sdtContent>
          <w:r w:rsidR="00A642AE">
            <w:t xml:space="preserve">     </w:t>
          </w:r>
        </w:sdtContent>
      </w:sdt>
      <w:r>
        <w:rPr>
          <w:rFonts w:ascii="Verdana" w:eastAsia="Verdana" w:hAnsi="Verdana" w:cs="Verdana"/>
        </w:rPr>
        <w:t xml:space="preserve">en los términos de la Ley 1712 de 2014, y permitirá la generación de informes de acuerdo con </w:t>
      </w:r>
      <w:r>
        <w:rPr>
          <w:rFonts w:ascii="Verdana" w:eastAsia="Verdana" w:hAnsi="Verdana" w:cs="Verdana"/>
        </w:rPr>
        <w:lastRenderedPageBreak/>
        <w:t>la reglamentación que para tal efecto expida el Ministerio de Ambiente y Desarrollo Sostenible.</w:t>
      </w:r>
    </w:p>
    <w:p w14:paraId="68257CEE" w14:textId="248C85F5" w:rsidR="00342F28" w:rsidRPr="00342F28" w:rsidRDefault="00342F28" w:rsidP="00342F28">
      <w:pPr>
        <w:spacing w:line="240" w:lineRule="auto"/>
        <w:jc w:val="both"/>
        <w:rPr>
          <w:rFonts w:ascii="Verdana" w:eastAsia="Verdana" w:hAnsi="Verdana" w:cs="Verdana"/>
          <w:lang w:val="es-419"/>
        </w:rPr>
      </w:pPr>
      <w:r>
        <w:rPr>
          <w:rFonts w:ascii="Verdana" w:eastAsia="Verdana" w:hAnsi="Verdana" w:cs="Verdana"/>
        </w:rPr>
        <w:t xml:space="preserve">Que </w:t>
      </w:r>
      <w:r w:rsidR="00C574AC">
        <w:rPr>
          <w:rFonts w:ascii="Verdana" w:eastAsia="Verdana" w:hAnsi="Verdana" w:cs="Verdana"/>
        </w:rPr>
        <w:t xml:space="preserve">conforme al </w:t>
      </w:r>
      <w:r>
        <w:rPr>
          <w:rFonts w:ascii="Verdana" w:eastAsia="Verdana" w:hAnsi="Verdana" w:cs="Verdana"/>
        </w:rPr>
        <w:t xml:space="preserve">artículo 34 de la Ley 2169 de 2021, las emisiones de GEI, deben ser verificadas mediante declaraciones de primera parte o </w:t>
      </w:r>
      <w:r w:rsidR="00C574AC">
        <w:rPr>
          <w:rFonts w:ascii="Verdana" w:eastAsia="Verdana" w:hAnsi="Verdana" w:cs="Verdana"/>
        </w:rPr>
        <w:t xml:space="preserve">declaraciones </w:t>
      </w:r>
      <w:r>
        <w:rPr>
          <w:rFonts w:ascii="Verdana" w:eastAsia="Verdana" w:hAnsi="Verdana" w:cs="Verdana"/>
        </w:rPr>
        <w:t xml:space="preserve">de conformidad </w:t>
      </w:r>
      <w:r w:rsidR="00C574AC">
        <w:rPr>
          <w:rFonts w:ascii="Verdana" w:eastAsia="Verdana" w:hAnsi="Verdana" w:cs="Verdana"/>
        </w:rPr>
        <w:t xml:space="preserve">acreditadas </w:t>
      </w:r>
      <w:r>
        <w:rPr>
          <w:rFonts w:ascii="Verdana" w:eastAsia="Verdana" w:hAnsi="Verdana" w:cs="Verdana"/>
        </w:rPr>
        <w:t>de tercera parte según aplique</w:t>
      </w:r>
      <w:r w:rsidR="00C574AC">
        <w:rPr>
          <w:rFonts w:ascii="Verdana" w:eastAsia="Verdana" w:hAnsi="Verdana" w:cs="Verdana"/>
        </w:rPr>
        <w:t>, de acuerdo a lo establecido en las normas vigentes frente a la materia.</w:t>
      </w:r>
    </w:p>
    <w:p w14:paraId="3445CF1A" w14:textId="77777777" w:rsidR="000A3508" w:rsidRDefault="00880DC3">
      <w:pPr>
        <w:spacing w:line="240" w:lineRule="auto"/>
        <w:jc w:val="both"/>
        <w:rPr>
          <w:rFonts w:ascii="Verdana" w:eastAsia="Verdana" w:hAnsi="Verdana" w:cs="Verdana"/>
        </w:rPr>
      </w:pPr>
      <w:r>
        <w:rPr>
          <w:rFonts w:ascii="Verdana" w:eastAsia="Verdana" w:hAnsi="Verdana" w:cs="Verdana"/>
        </w:rPr>
        <w:t>Que el artículo 2.2.8.6.5.1. del Decreto 1076 de 2015, definió que el Sistema de Información Ambiental para Colombia (SIAC), está compuesto por el Sistema de Información Ambiental para el Seguimiento a la Calidad y Estado de los Recursos Naturales y el Ambiente (SIA), y el Sistema de Información para la Planeación y Gestión Ambiental (SIPGA). Del mismo modo, este artículo también determinó que el diseño del SIAC, será liderado por el Ministerio de Ambiente y Desarrollo Sostenible y su implementación será coordinada por el Instituto de Hidrología, Meteorología y Estudios Ambientales (IDEAM).</w:t>
      </w:r>
    </w:p>
    <w:p w14:paraId="3445CF1B" w14:textId="0838B2EA" w:rsidR="000A3508" w:rsidRDefault="00880DC3">
      <w:pPr>
        <w:spacing w:line="240" w:lineRule="auto"/>
        <w:jc w:val="both"/>
        <w:rPr>
          <w:rFonts w:ascii="Verdana" w:eastAsia="Verdana" w:hAnsi="Verdana" w:cs="Verdana"/>
        </w:rPr>
      </w:pPr>
      <w:r>
        <w:rPr>
          <w:rFonts w:ascii="Verdana" w:eastAsia="Verdana" w:hAnsi="Verdana" w:cs="Verdana"/>
        </w:rPr>
        <w:t>Que en el artículo 2.2.8.9.1.1. del Decreto 1076 de 2015 estableció la definición y composición del SIAC, el cual tendrá como soporte el Sistema Nacional Ambiental (SINA)</w:t>
      </w:r>
      <w:r w:rsidR="00820BF4">
        <w:rPr>
          <w:rFonts w:ascii="Verdana" w:eastAsia="Verdana" w:hAnsi="Verdana" w:cs="Verdana"/>
        </w:rPr>
        <w:t>.</w:t>
      </w:r>
    </w:p>
    <w:p w14:paraId="3445CF1C" w14:textId="023475FB" w:rsidR="000A3508" w:rsidRDefault="00880DC3">
      <w:pPr>
        <w:spacing w:line="240" w:lineRule="auto"/>
        <w:jc w:val="both"/>
        <w:rPr>
          <w:rFonts w:ascii="Verdana" w:eastAsia="Verdana" w:hAnsi="Verdana" w:cs="Verdana"/>
        </w:rPr>
      </w:pPr>
      <w:r>
        <w:rPr>
          <w:rFonts w:ascii="Verdana" w:eastAsia="Verdana" w:hAnsi="Verdana" w:cs="Verdana"/>
        </w:rPr>
        <w:t xml:space="preserve">Que mediante la Resolución No. 1484 del 31 de diciembre de 2013 el Ministerio de Ambiente y Desarrollo Sostenible conformó el Comité Directivo del Sistema de Información Ambiental para Colombia </w:t>
      </w:r>
      <w:r w:rsidR="00E70E3C">
        <w:rPr>
          <w:rFonts w:ascii="Verdana" w:eastAsia="Verdana" w:hAnsi="Verdana" w:cs="Verdana"/>
        </w:rPr>
        <w:t>(</w:t>
      </w:r>
      <w:r>
        <w:rPr>
          <w:rFonts w:ascii="Verdana" w:eastAsia="Verdana" w:hAnsi="Verdana" w:cs="Verdana"/>
        </w:rPr>
        <w:t>SIAC</w:t>
      </w:r>
      <w:r w:rsidR="00E70E3C">
        <w:rPr>
          <w:rFonts w:ascii="Verdana" w:eastAsia="Verdana" w:hAnsi="Verdana" w:cs="Verdana"/>
        </w:rPr>
        <w:t>)</w:t>
      </w:r>
      <w:r>
        <w:rPr>
          <w:rFonts w:ascii="Verdana" w:eastAsia="Verdana" w:hAnsi="Verdana" w:cs="Verdana"/>
        </w:rPr>
        <w:t>.</w:t>
      </w:r>
    </w:p>
    <w:p w14:paraId="5270DE49" w14:textId="6C44FDF6" w:rsidR="00953BFD" w:rsidRPr="00953BFD" w:rsidRDefault="00AD0878" w:rsidP="00953BFD">
      <w:pPr>
        <w:spacing w:line="240" w:lineRule="auto"/>
        <w:jc w:val="both"/>
        <w:rPr>
          <w:rFonts w:ascii="Verdana" w:eastAsia="Verdana" w:hAnsi="Verdana" w:cs="Verdana"/>
          <w:lang w:val="es-419"/>
        </w:rPr>
      </w:pPr>
      <w:r>
        <w:rPr>
          <w:rFonts w:ascii="Verdana" w:eastAsia="Verdana" w:hAnsi="Verdana" w:cs="Verdana"/>
        </w:rPr>
        <w:t>Que la Resolución 1383 de 2023</w:t>
      </w:r>
      <w:r w:rsidR="00953BFD" w:rsidRPr="00953BFD">
        <w:rPr>
          <w:rFonts w:ascii="Verdana" w:eastAsia="Verdana" w:hAnsi="Verdana" w:cs="Verdana"/>
          <w:lang w:val="es-419"/>
        </w:rPr>
        <w:t xml:space="preserve"> reglamenta el funcionamiento y administración del Sistema Nacional de Cambio Climático </w:t>
      </w:r>
      <w:r w:rsidR="00953BFD">
        <w:rPr>
          <w:rFonts w:ascii="Verdana" w:eastAsia="Verdana" w:hAnsi="Verdana" w:cs="Verdana"/>
          <w:lang w:val="es-419"/>
        </w:rPr>
        <w:t>(</w:t>
      </w:r>
      <w:r w:rsidR="00953BFD" w:rsidRPr="00953BFD">
        <w:rPr>
          <w:rFonts w:ascii="Verdana" w:eastAsia="Verdana" w:hAnsi="Verdana" w:cs="Verdana"/>
          <w:lang w:val="es-419"/>
        </w:rPr>
        <w:t>SNICC</w:t>
      </w:r>
      <w:r w:rsidR="00953BFD">
        <w:rPr>
          <w:rFonts w:ascii="Verdana" w:eastAsia="Verdana" w:hAnsi="Verdana" w:cs="Verdana"/>
          <w:lang w:val="es-419"/>
        </w:rPr>
        <w:t>)</w:t>
      </w:r>
      <w:r w:rsidR="00953BFD" w:rsidRPr="00953BFD">
        <w:rPr>
          <w:rFonts w:ascii="Verdana" w:eastAsia="Verdana" w:hAnsi="Verdana" w:cs="Verdana"/>
          <w:lang w:val="es-419"/>
        </w:rPr>
        <w:t>, en el marco del SIAC y define</w:t>
      </w:r>
      <w:r w:rsidR="00A30CF0">
        <w:rPr>
          <w:rFonts w:ascii="Verdana" w:eastAsia="Verdana" w:hAnsi="Verdana" w:cs="Verdana"/>
          <w:lang w:val="es-419"/>
        </w:rPr>
        <w:t xml:space="preserve"> las</w:t>
      </w:r>
      <w:r w:rsidR="00953BFD" w:rsidRPr="00953BFD">
        <w:rPr>
          <w:rFonts w:ascii="Verdana" w:eastAsia="Verdana" w:hAnsi="Verdana" w:cs="Verdana"/>
          <w:lang w:val="es-419"/>
        </w:rPr>
        <w:t xml:space="preserve"> reglas y </w:t>
      </w:r>
      <w:r w:rsidR="00A30CF0">
        <w:rPr>
          <w:rFonts w:ascii="Verdana" w:eastAsia="Verdana" w:hAnsi="Verdana" w:cs="Verdana"/>
          <w:lang w:val="es-419"/>
        </w:rPr>
        <w:t xml:space="preserve">los </w:t>
      </w:r>
      <w:r w:rsidR="00953BFD" w:rsidRPr="00953BFD">
        <w:rPr>
          <w:rFonts w:ascii="Verdana" w:eastAsia="Verdana" w:hAnsi="Verdana" w:cs="Verdana"/>
          <w:lang w:val="es-419"/>
        </w:rPr>
        <w:t xml:space="preserve">procesos para </w:t>
      </w:r>
      <w:r w:rsidR="007918F8">
        <w:rPr>
          <w:rFonts w:ascii="Verdana" w:eastAsia="Verdana" w:hAnsi="Verdana" w:cs="Verdana"/>
          <w:lang w:val="es-419"/>
        </w:rPr>
        <w:t>su</w:t>
      </w:r>
      <w:r w:rsidR="00A30CF0">
        <w:rPr>
          <w:rFonts w:ascii="Verdana" w:eastAsia="Verdana" w:hAnsi="Verdana" w:cs="Verdana"/>
          <w:lang w:val="es-419"/>
        </w:rPr>
        <w:t xml:space="preserve"> </w:t>
      </w:r>
      <w:r w:rsidR="00953BFD" w:rsidRPr="00953BFD">
        <w:rPr>
          <w:rFonts w:ascii="Verdana" w:eastAsia="Verdana" w:hAnsi="Verdana" w:cs="Verdana"/>
          <w:lang w:val="es-419"/>
        </w:rPr>
        <w:t>articulación con sistemas que tengan similares propósitos y gestionen información relacionada con el seguimiento a la gestión del cambio climático, correspondiendo al Ministerio de Ambiente y Desarrollo Sostenible, como coordinador del SNICC, definir los demás sistemas, instrumentos y herramientas que generen información sobre cambio climático que se consideren pertinente</w:t>
      </w:r>
      <w:r w:rsidR="007918F8">
        <w:rPr>
          <w:rFonts w:ascii="Verdana" w:eastAsia="Verdana" w:hAnsi="Verdana" w:cs="Verdana"/>
          <w:lang w:val="es-419"/>
        </w:rPr>
        <w:t>s.</w:t>
      </w:r>
      <w:r w:rsidR="00953BFD" w:rsidRPr="00953BFD">
        <w:rPr>
          <w:rFonts w:ascii="Verdana" w:eastAsia="Verdana" w:hAnsi="Verdana" w:cs="Verdana"/>
          <w:lang w:val="es-419"/>
        </w:rPr>
        <w:t xml:space="preserve"> Por lo anterior, el ROE al recoger la información de las emisiones de GEI generadas por las personas jurídicas públicas</w:t>
      </w:r>
      <w:r w:rsidR="00BC410A">
        <w:rPr>
          <w:rFonts w:ascii="Verdana" w:eastAsia="Verdana" w:hAnsi="Verdana" w:cs="Verdana"/>
          <w:lang w:val="es-419"/>
        </w:rPr>
        <w:t>,</w:t>
      </w:r>
      <w:r w:rsidR="00953BFD" w:rsidRPr="00953BFD">
        <w:rPr>
          <w:rFonts w:ascii="Verdana" w:eastAsia="Verdana" w:hAnsi="Verdana" w:cs="Verdana"/>
          <w:lang w:val="es-419"/>
        </w:rPr>
        <w:t xml:space="preserve"> privadas y mixtas podrá articularse con el SIAC a través del SNICC.</w:t>
      </w:r>
    </w:p>
    <w:p w14:paraId="1707E505" w14:textId="77777777" w:rsidR="000C1655" w:rsidRPr="0066723E" w:rsidRDefault="000C1655" w:rsidP="000C1655">
      <w:pPr>
        <w:spacing w:line="240" w:lineRule="auto"/>
        <w:jc w:val="both"/>
        <w:rPr>
          <w:rFonts w:ascii="Verdana" w:eastAsia="Verdana" w:hAnsi="Verdana" w:cs="Verdana"/>
          <w:lang w:val="es-419"/>
        </w:rPr>
      </w:pPr>
      <w:r w:rsidRPr="0066723E">
        <w:rPr>
          <w:rFonts w:ascii="Verdana" w:eastAsia="Verdana" w:hAnsi="Verdana" w:cs="Verdana"/>
          <w:lang w:val="es-419"/>
        </w:rPr>
        <w:t>Que la Resolución No. 0839 del 28 de agosto de 2023 sustituyó la resolución 0941 de 2009 en lo relacionado con el Subsistema de Información sobre Uso de Recursos Naturales Renovables -SIUR y el Registro Único Ambiental -RUA,</w:t>
      </w:r>
      <w:r>
        <w:rPr>
          <w:rFonts w:ascii="Verdana" w:eastAsia="Verdana" w:hAnsi="Verdana" w:cs="Verdana"/>
          <w:lang w:val="es-419"/>
        </w:rPr>
        <w:t xml:space="preserve"> y</w:t>
      </w:r>
      <w:r w:rsidRPr="0066723E">
        <w:rPr>
          <w:rFonts w:ascii="Verdana" w:eastAsia="Verdana" w:hAnsi="Verdana" w:cs="Verdana"/>
          <w:lang w:val="es-419"/>
        </w:rPr>
        <w:t xml:space="preserve"> adopta el Protocolo para el monitoreo y seguimiento del SIUR para los sectores productivos y el Registro de Emisiones y Transferencia de Contaminantes -RETC.</w:t>
      </w:r>
    </w:p>
    <w:p w14:paraId="24E9A771" w14:textId="77777777" w:rsidR="000C1655" w:rsidRDefault="000C1655" w:rsidP="000C1655">
      <w:pPr>
        <w:spacing w:line="240" w:lineRule="auto"/>
        <w:jc w:val="both"/>
        <w:rPr>
          <w:rFonts w:ascii="Verdana" w:eastAsia="Verdana" w:hAnsi="Verdana" w:cs="Verdana"/>
          <w:lang w:val="es-419"/>
        </w:rPr>
      </w:pPr>
      <w:r w:rsidRPr="0066723E">
        <w:rPr>
          <w:rFonts w:ascii="Verdana" w:eastAsia="Verdana" w:hAnsi="Verdana" w:cs="Verdana"/>
          <w:lang w:val="es-419"/>
        </w:rPr>
        <w:t xml:space="preserve">Que el RETC es un catálogo de datos o base de datos accesible al público, de las Emisiones y Transferencia de Contaminantes </w:t>
      </w:r>
      <w:r>
        <w:rPr>
          <w:rFonts w:ascii="Verdana" w:eastAsia="Verdana" w:hAnsi="Verdana" w:cs="Verdana"/>
          <w:lang w:val="es-419"/>
        </w:rPr>
        <w:t xml:space="preserve">al agua, al aire y al suelo </w:t>
      </w:r>
      <w:r w:rsidRPr="0066723E">
        <w:rPr>
          <w:rFonts w:ascii="Verdana" w:eastAsia="Verdana" w:hAnsi="Verdana" w:cs="Verdana"/>
          <w:lang w:val="es-419"/>
        </w:rPr>
        <w:t>potencialmente dañin</w:t>
      </w:r>
      <w:r>
        <w:rPr>
          <w:rFonts w:ascii="Verdana" w:eastAsia="Verdana" w:hAnsi="Verdana" w:cs="Verdana"/>
          <w:lang w:val="es-419"/>
        </w:rPr>
        <w:t>o</w:t>
      </w:r>
      <w:r w:rsidRPr="0066723E">
        <w:rPr>
          <w:rFonts w:ascii="Verdana" w:eastAsia="Verdana" w:hAnsi="Verdana" w:cs="Verdana"/>
          <w:lang w:val="es-419"/>
        </w:rPr>
        <w:t xml:space="preserve">s a la salud y al medio ambiente, </w:t>
      </w:r>
      <w:r>
        <w:rPr>
          <w:rFonts w:ascii="Verdana" w:eastAsia="Verdana" w:hAnsi="Verdana" w:cs="Verdana"/>
          <w:lang w:val="es-419"/>
        </w:rPr>
        <w:t xml:space="preserve">generados por las </w:t>
      </w:r>
      <w:r w:rsidRPr="003E28D6">
        <w:rPr>
          <w:rFonts w:ascii="Verdana" w:eastAsia="Verdana" w:hAnsi="Verdana" w:cs="Verdana"/>
          <w:lang w:val="es-419"/>
        </w:rPr>
        <w:t>personas naturales y jurídicas que</w:t>
      </w:r>
      <w:r>
        <w:rPr>
          <w:rFonts w:ascii="Verdana" w:eastAsia="Verdana" w:hAnsi="Verdana" w:cs="Verdana"/>
          <w:lang w:val="es-419"/>
        </w:rPr>
        <w:t xml:space="preserve">, </w:t>
      </w:r>
      <w:r w:rsidRPr="003E28D6">
        <w:rPr>
          <w:rFonts w:ascii="Verdana" w:eastAsia="Verdana" w:hAnsi="Verdana" w:cs="Verdana"/>
          <w:lang w:val="es-419"/>
        </w:rPr>
        <w:t>de acuerdo a la normatividad vigente, requieran licencia ambiental, planes de manejo, permisos, concesiones y demás autorizaciones  para el uso y aprovechamiento de los recursos naturales renovables, así como los generadores de residuos peligrosos obligados a reporte en el registro de generadores de residuos peligrosos</w:t>
      </w:r>
      <w:r>
        <w:rPr>
          <w:rFonts w:ascii="Verdana" w:eastAsia="Verdana" w:hAnsi="Verdana" w:cs="Verdana"/>
          <w:lang w:val="es-419"/>
        </w:rPr>
        <w:t>.</w:t>
      </w:r>
    </w:p>
    <w:p w14:paraId="2EA2AE0C" w14:textId="04946723" w:rsidR="000C1655" w:rsidRPr="00BC410A" w:rsidRDefault="000C1655">
      <w:pPr>
        <w:spacing w:line="240" w:lineRule="auto"/>
        <w:jc w:val="both"/>
        <w:rPr>
          <w:rFonts w:ascii="Verdana" w:eastAsia="Verdana" w:hAnsi="Verdana" w:cs="Verdana"/>
          <w:lang w:val="es-419"/>
        </w:rPr>
      </w:pPr>
      <w:r w:rsidRPr="0066723E">
        <w:rPr>
          <w:rFonts w:ascii="Verdana" w:eastAsia="Verdana" w:hAnsi="Verdana" w:cs="Verdana"/>
          <w:lang w:val="es-419"/>
        </w:rPr>
        <w:t>Que</w:t>
      </w:r>
      <w:r>
        <w:rPr>
          <w:rFonts w:ascii="Verdana" w:eastAsia="Verdana" w:hAnsi="Verdana" w:cs="Verdana"/>
          <w:lang w:val="es-419"/>
        </w:rPr>
        <w:t xml:space="preserve"> tanto el </w:t>
      </w:r>
      <w:r w:rsidRPr="0066723E">
        <w:rPr>
          <w:rFonts w:ascii="Verdana" w:eastAsia="Verdana" w:hAnsi="Verdana" w:cs="Verdana"/>
          <w:lang w:val="es-419"/>
        </w:rPr>
        <w:t>ROE</w:t>
      </w:r>
      <w:r>
        <w:rPr>
          <w:rFonts w:ascii="Verdana" w:eastAsia="Verdana" w:hAnsi="Verdana" w:cs="Verdana"/>
          <w:lang w:val="es-419"/>
        </w:rPr>
        <w:t xml:space="preserve"> como el RUA-RETC hacen parte</w:t>
      </w:r>
      <w:r w:rsidRPr="0066723E">
        <w:rPr>
          <w:rFonts w:ascii="Verdana" w:eastAsia="Verdana" w:hAnsi="Verdana" w:cs="Verdana"/>
          <w:lang w:val="es-419"/>
        </w:rPr>
        <w:t xml:space="preserve"> del SIAC, </w:t>
      </w:r>
      <w:r>
        <w:rPr>
          <w:rFonts w:ascii="Verdana" w:eastAsia="Verdana" w:hAnsi="Verdana" w:cs="Verdana"/>
          <w:lang w:val="es-419"/>
        </w:rPr>
        <w:t xml:space="preserve">y </w:t>
      </w:r>
      <w:r w:rsidRPr="0066723E">
        <w:rPr>
          <w:rFonts w:ascii="Verdana" w:eastAsia="Verdana" w:hAnsi="Verdana" w:cs="Verdana"/>
          <w:lang w:val="es-419"/>
        </w:rPr>
        <w:t>podrá</w:t>
      </w:r>
      <w:r>
        <w:rPr>
          <w:rFonts w:ascii="Verdana" w:eastAsia="Verdana" w:hAnsi="Verdana" w:cs="Verdana"/>
          <w:lang w:val="es-419"/>
        </w:rPr>
        <w:t>n funcionar de manera independiente e</w:t>
      </w:r>
      <w:r w:rsidRPr="0066723E">
        <w:rPr>
          <w:rFonts w:ascii="Verdana" w:eastAsia="Verdana" w:hAnsi="Verdana" w:cs="Verdana"/>
          <w:lang w:val="es-419"/>
        </w:rPr>
        <w:t xml:space="preserve"> interoperar </w:t>
      </w:r>
      <w:r>
        <w:rPr>
          <w:rFonts w:ascii="Verdana" w:eastAsia="Verdana" w:hAnsi="Verdana" w:cs="Verdana"/>
          <w:lang w:val="es-419"/>
        </w:rPr>
        <w:t xml:space="preserve">entre sí y </w:t>
      </w:r>
      <w:r w:rsidRPr="0066723E">
        <w:rPr>
          <w:rFonts w:ascii="Verdana" w:eastAsia="Verdana" w:hAnsi="Verdana" w:cs="Verdana"/>
          <w:lang w:val="es-419"/>
        </w:rPr>
        <w:t>con los sistemas</w:t>
      </w:r>
      <w:r w:rsidR="00D51867">
        <w:rPr>
          <w:rFonts w:ascii="Verdana" w:eastAsia="Verdana" w:hAnsi="Verdana" w:cs="Verdana"/>
          <w:lang w:val="es-419"/>
        </w:rPr>
        <w:t xml:space="preserve">, instrumentos </w:t>
      </w:r>
      <w:r w:rsidR="00760C15">
        <w:rPr>
          <w:rFonts w:ascii="Verdana" w:eastAsia="Verdana" w:hAnsi="Verdana" w:cs="Verdana"/>
          <w:lang w:val="es-419"/>
        </w:rPr>
        <w:t xml:space="preserve">y herramientas </w:t>
      </w:r>
      <w:r w:rsidRPr="0066723E">
        <w:rPr>
          <w:rFonts w:ascii="Verdana" w:eastAsia="Verdana" w:hAnsi="Verdana" w:cs="Verdana"/>
          <w:lang w:val="es-419"/>
        </w:rPr>
        <w:t>que provean o generen información para la gestión del cambio climático</w:t>
      </w:r>
      <w:r>
        <w:rPr>
          <w:rFonts w:ascii="Verdana" w:eastAsia="Verdana" w:hAnsi="Verdana" w:cs="Verdana"/>
          <w:lang w:val="es-419"/>
        </w:rPr>
        <w:t>.</w:t>
      </w:r>
      <w:r w:rsidRPr="0066723E">
        <w:rPr>
          <w:rFonts w:ascii="Verdana" w:eastAsia="Verdana" w:hAnsi="Verdana" w:cs="Verdana"/>
          <w:lang w:val="es-419"/>
        </w:rPr>
        <w:t xml:space="preserve"> </w:t>
      </w:r>
    </w:p>
    <w:p w14:paraId="3445CF1D" w14:textId="13055FB3" w:rsidR="000A3508" w:rsidRDefault="00880DC3">
      <w:pPr>
        <w:spacing w:line="240" w:lineRule="auto"/>
        <w:jc w:val="both"/>
        <w:rPr>
          <w:rFonts w:ascii="Verdana" w:eastAsia="Verdana" w:hAnsi="Verdana" w:cs="Verdana"/>
        </w:rPr>
      </w:pPr>
      <w:r>
        <w:rPr>
          <w:rFonts w:ascii="Verdana" w:eastAsia="Verdana" w:hAnsi="Verdana" w:cs="Verdana"/>
        </w:rPr>
        <w:lastRenderedPageBreak/>
        <w:t>Que para la clasificación de las personas jurídicas privadas y mixtas con capital privado superior al 50% se tomar</w:t>
      </w:r>
      <w:r w:rsidR="00EC4B02">
        <w:rPr>
          <w:rFonts w:ascii="Verdana" w:eastAsia="Verdana" w:hAnsi="Verdana" w:cs="Verdana"/>
        </w:rPr>
        <w:t>á</w:t>
      </w:r>
      <w:r>
        <w:rPr>
          <w:rFonts w:ascii="Verdana" w:eastAsia="Verdana" w:hAnsi="Verdana" w:cs="Verdana"/>
        </w:rPr>
        <w:t xml:space="preserve"> en cuenta lo establecido en </w:t>
      </w:r>
      <w:r>
        <w:rPr>
          <w:rFonts w:ascii="Verdana" w:eastAsia="Verdana" w:hAnsi="Verdana" w:cs="Verdana"/>
          <w:color w:val="000000"/>
        </w:rPr>
        <w:t xml:space="preserve">el </w:t>
      </w:r>
      <w:r w:rsidR="00FE5621">
        <w:rPr>
          <w:rFonts w:ascii="Verdana" w:eastAsia="Verdana" w:hAnsi="Verdana" w:cs="Verdana"/>
          <w:color w:val="000000"/>
        </w:rPr>
        <w:t>a</w:t>
      </w:r>
      <w:r>
        <w:rPr>
          <w:rFonts w:ascii="Verdana" w:eastAsia="Verdana" w:hAnsi="Verdana" w:cs="Verdana"/>
          <w:color w:val="000000"/>
        </w:rPr>
        <w:t xml:space="preserve">rtículo </w:t>
      </w:r>
      <w:r>
        <w:rPr>
          <w:rFonts w:ascii="Verdana" w:eastAsia="Verdana" w:hAnsi="Verdana" w:cs="Verdana"/>
        </w:rPr>
        <w:t>1 del Decreto 957 de 2019,</w:t>
      </w:r>
      <w:r w:rsidRPr="00856C13">
        <w:rPr>
          <w:rFonts w:ascii="Verdana" w:eastAsia="Verdana" w:hAnsi="Verdana" w:cs="Verdana"/>
        </w:rPr>
        <w:t xml:space="preserve"> </w:t>
      </w:r>
      <w:r w:rsidR="00856C13" w:rsidRPr="00A642AE">
        <w:rPr>
          <w:rFonts w:ascii="Verdana" w:hAnsi="Verdana"/>
        </w:rPr>
        <w:t>p</w:t>
      </w:r>
      <w:r w:rsidRPr="00856C13">
        <w:rPr>
          <w:rFonts w:ascii="Verdana" w:eastAsia="Verdana" w:hAnsi="Verdana" w:cs="Verdana"/>
        </w:rPr>
        <w:t>or</w:t>
      </w:r>
      <w:r>
        <w:rPr>
          <w:rFonts w:ascii="Verdana" w:eastAsia="Verdana" w:hAnsi="Verdana" w:cs="Verdana"/>
        </w:rPr>
        <w:t xml:space="preserve"> el cual se adiciona el capítulo </w:t>
      </w:r>
      <w:hyperlink r:id="rId9" w:anchor="2.2.1.13.1.1">
        <w:sdt>
          <w:sdtPr>
            <w:tag w:val="goog_rdk_6"/>
            <w:id w:val="1142470158"/>
          </w:sdtPr>
          <w:sdtContent>
            <w:r w:rsidR="000A3508" w:rsidRPr="00BC410A">
              <w:rPr>
                <w:rFonts w:ascii="Verdana" w:eastAsia="Verdana" w:hAnsi="Verdana" w:cs="Verdana"/>
              </w:rPr>
              <w:t>13</w:t>
            </w:r>
          </w:sdtContent>
        </w:sdt>
      </w:hyperlink>
      <w:r>
        <w:rPr>
          <w:rFonts w:ascii="Verdana" w:eastAsia="Verdana" w:hAnsi="Verdana" w:cs="Verdana"/>
        </w:rPr>
        <w:t> al Título 1 de la Parte 2 del Libro 2 del Decreto 1074 de 2015, Decreto Único del Sector Comercio, Industria y Turismo y se reglamenta el artículo 2º de la Ley 590 de 2000, modificado por el artículo 43 de la Ley 1450 de 2011, el cual  reglamenta la clasificación de las micro, pequeñas, medianas y grandes empresas, teniendo en cuenta para ello el criterio de ventas brutas, asimilado al de ingresos por actividades ordinarias anuales, acorde con lo previsto en el artículo 2° de la Ley 590 de 2000, modificado por el 43 de la Ley 1450 de 2011; el cual aplica a toda clasificación de las micro, pequeñas, medianas y grandes empresas.</w:t>
      </w:r>
    </w:p>
    <w:p w14:paraId="0DC21A3A" w14:textId="77777777" w:rsidR="00E70E3C" w:rsidRDefault="00E70E3C">
      <w:pPr>
        <w:spacing w:line="240" w:lineRule="auto"/>
        <w:jc w:val="both"/>
      </w:pPr>
      <w:r w:rsidRPr="00E70E3C">
        <w:rPr>
          <w:rFonts w:ascii="Verdana" w:eastAsia="Verdana" w:hAnsi="Verdana" w:cs="Verdana"/>
        </w:rPr>
        <w:t>Que para la clasificación de las personas jurídicas públicas y mixtas con capital público igual o superior al 50%, se tendrán en cuenta criterios establecidos en la Ley 617 de 2000 y la resolución de certificación de categorización de las entidades territoriales expedida por la Contaduría General de la Nación.</w:t>
      </w:r>
      <w:r w:rsidRPr="00E70E3C">
        <w:t xml:space="preserve"> </w:t>
      </w:r>
    </w:p>
    <w:p w14:paraId="3445CF24" w14:textId="1F80E6D3" w:rsidR="000A3508" w:rsidRDefault="00880DC3">
      <w:pPr>
        <w:spacing w:line="240" w:lineRule="auto"/>
        <w:jc w:val="both"/>
        <w:rPr>
          <w:rFonts w:ascii="Verdana" w:eastAsia="Verdana" w:hAnsi="Verdana" w:cs="Verdana"/>
        </w:rPr>
      </w:pPr>
      <w:r>
        <w:rPr>
          <w:rFonts w:ascii="Verdana" w:eastAsia="Verdana" w:hAnsi="Verdana" w:cs="Verdana"/>
        </w:rPr>
        <w:t>Que mérito de lo expuesto,</w:t>
      </w:r>
    </w:p>
    <w:p w14:paraId="3445CF25" w14:textId="77777777" w:rsidR="000A3508" w:rsidRDefault="00880DC3">
      <w:pPr>
        <w:spacing w:line="240" w:lineRule="auto"/>
        <w:jc w:val="center"/>
        <w:rPr>
          <w:rFonts w:ascii="Verdana" w:eastAsia="Verdana" w:hAnsi="Verdana" w:cs="Verdana"/>
          <w:b/>
          <w:bCs/>
        </w:rPr>
      </w:pPr>
      <w:r>
        <w:rPr>
          <w:rFonts w:ascii="Verdana" w:eastAsia="Verdana" w:hAnsi="Verdana" w:cs="Verdana"/>
          <w:b/>
          <w:bCs/>
        </w:rPr>
        <w:t>RESUELVE:</w:t>
      </w:r>
    </w:p>
    <w:p w14:paraId="3445CF26" w14:textId="77777777" w:rsidR="000A3508" w:rsidRDefault="00880DC3">
      <w:pPr>
        <w:pBdr>
          <w:top w:val="nil"/>
          <w:left w:val="nil"/>
          <w:bottom w:val="nil"/>
          <w:right w:val="nil"/>
          <w:between w:val="nil"/>
        </w:pBdr>
        <w:tabs>
          <w:tab w:val="left" w:pos="3515"/>
        </w:tabs>
        <w:spacing w:after="0" w:line="240" w:lineRule="auto"/>
        <w:ind w:left="-284"/>
        <w:jc w:val="center"/>
        <w:rPr>
          <w:rFonts w:ascii="Verdana" w:eastAsia="Verdana" w:hAnsi="Verdana" w:cs="Verdana"/>
          <w:b/>
          <w:bCs/>
          <w:color w:val="000000"/>
        </w:rPr>
      </w:pPr>
      <w:r>
        <w:rPr>
          <w:rFonts w:ascii="Verdana" w:eastAsia="Verdana" w:hAnsi="Verdana" w:cs="Verdana"/>
          <w:b/>
          <w:bCs/>
          <w:color w:val="000000"/>
        </w:rPr>
        <w:t>Sección 1: Disposiciones Generales</w:t>
      </w:r>
    </w:p>
    <w:p w14:paraId="3445CF27" w14:textId="77777777" w:rsidR="000A3508" w:rsidRDefault="000A3508">
      <w:pPr>
        <w:pBdr>
          <w:top w:val="nil"/>
          <w:left w:val="nil"/>
          <w:bottom w:val="nil"/>
          <w:right w:val="nil"/>
          <w:between w:val="nil"/>
        </w:pBdr>
        <w:tabs>
          <w:tab w:val="left" w:pos="3515"/>
        </w:tabs>
        <w:spacing w:after="0" w:line="240" w:lineRule="auto"/>
        <w:ind w:left="-284"/>
        <w:jc w:val="center"/>
        <w:rPr>
          <w:rFonts w:ascii="Verdana" w:eastAsia="Verdana" w:hAnsi="Verdana" w:cs="Verdana"/>
          <w:b/>
          <w:bCs/>
          <w:color w:val="000000"/>
        </w:rPr>
      </w:pPr>
    </w:p>
    <w:p w14:paraId="37744A53" w14:textId="29F5CFE1" w:rsidR="001043C5" w:rsidRDefault="00880DC3" w:rsidP="008F44A9">
      <w:pPr>
        <w:jc w:val="both"/>
        <w:rPr>
          <w:rFonts w:ascii="Verdana" w:eastAsia="Verdana" w:hAnsi="Verdana" w:cs="Verdana"/>
          <w:color w:val="000000"/>
        </w:rPr>
      </w:pPr>
      <w:r>
        <w:rPr>
          <w:rFonts w:ascii="Verdana" w:eastAsia="Verdana" w:hAnsi="Verdana" w:cs="Verdana"/>
          <w:b/>
          <w:bCs/>
          <w:color w:val="000000"/>
        </w:rPr>
        <w:t>Artículo 1.</w:t>
      </w:r>
      <w:r>
        <w:rPr>
          <w:rFonts w:ascii="Verdana" w:eastAsia="Verdana" w:hAnsi="Verdana" w:cs="Verdana"/>
          <w:color w:val="000000"/>
        </w:rPr>
        <w:t xml:space="preserve"> </w:t>
      </w:r>
      <w:r>
        <w:rPr>
          <w:rFonts w:ascii="Verdana" w:eastAsia="Verdana" w:hAnsi="Verdana" w:cs="Verdana"/>
          <w:b/>
          <w:bCs/>
          <w:color w:val="000000"/>
        </w:rPr>
        <w:t>Objeto.</w:t>
      </w:r>
      <w:r>
        <w:rPr>
          <w:rFonts w:ascii="Verdana" w:eastAsia="Verdana" w:hAnsi="Verdana" w:cs="Verdana"/>
          <w:color w:val="000000"/>
        </w:rPr>
        <w:t xml:space="preserve"> </w:t>
      </w:r>
      <w:r w:rsidR="008F44A9" w:rsidRPr="008F44A9">
        <w:rPr>
          <w:rFonts w:ascii="Verdana" w:eastAsia="Verdana" w:hAnsi="Verdana" w:cs="Verdana"/>
          <w:color w:val="000000"/>
          <w:lang w:val="es-CO"/>
        </w:rPr>
        <w:t xml:space="preserve">La presente resolución tiene por objeto reglamentar el Reporte Obligatorio de Emisiones de Gases de Efecto Invernadero (ROE), de que trata el artículo 16 de la Ley 2169 de 2021, mediante la definición </w:t>
      </w:r>
      <w:r w:rsidR="001043C5" w:rsidRPr="001043C5">
        <w:rPr>
          <w:rFonts w:ascii="Verdana" w:eastAsia="Verdana" w:hAnsi="Verdana" w:cs="Verdana"/>
          <w:color w:val="000000"/>
        </w:rPr>
        <w:t xml:space="preserve">las metodologías para el cálculo de las emisiones directas e indirectas que deberán ser reportadas, así como los métodos, instrumentos, procesos y periodicidad del reporte de las emisiones de </w:t>
      </w:r>
      <w:proofErr w:type="spellStart"/>
      <w:r w:rsidR="001043C5" w:rsidRPr="001043C5">
        <w:rPr>
          <w:rFonts w:ascii="Verdana" w:eastAsia="Verdana" w:hAnsi="Verdana" w:cs="Verdana"/>
          <w:color w:val="000000"/>
        </w:rPr>
        <w:t>GEl</w:t>
      </w:r>
      <w:proofErr w:type="spellEnd"/>
      <w:r w:rsidR="001043C5" w:rsidRPr="001043C5">
        <w:rPr>
          <w:rFonts w:ascii="Verdana" w:eastAsia="Verdana" w:hAnsi="Verdana" w:cs="Verdana"/>
          <w:color w:val="000000"/>
        </w:rPr>
        <w:t xml:space="preserve"> y la información y documentación para la elaboración de inventarios de GE</w:t>
      </w:r>
      <w:r w:rsidR="001043C5">
        <w:rPr>
          <w:rFonts w:ascii="Verdana" w:eastAsia="Verdana" w:hAnsi="Verdana" w:cs="Verdana"/>
          <w:color w:val="000000"/>
        </w:rPr>
        <w:t>I.</w:t>
      </w:r>
    </w:p>
    <w:p w14:paraId="580195E1" w14:textId="5D730F3A" w:rsidR="00674949" w:rsidRPr="008F44A9" w:rsidRDefault="008F44A9" w:rsidP="008F44A9">
      <w:pPr>
        <w:jc w:val="both"/>
        <w:rPr>
          <w:rFonts w:ascii="Verdana" w:eastAsia="Verdana" w:hAnsi="Verdana" w:cs="Verdana"/>
          <w:color w:val="000000"/>
          <w:lang w:val="es-CO"/>
        </w:rPr>
      </w:pPr>
      <w:r w:rsidRPr="008F44A9">
        <w:rPr>
          <w:rFonts w:ascii="Verdana" w:eastAsia="Verdana" w:hAnsi="Verdana" w:cs="Verdana"/>
          <w:color w:val="000000"/>
          <w:lang w:val="es-CO"/>
        </w:rPr>
        <w:t>Así mismo,</w:t>
      </w:r>
      <w:r w:rsidR="0076273D">
        <w:rPr>
          <w:rFonts w:ascii="Verdana" w:eastAsia="Verdana" w:hAnsi="Verdana" w:cs="Verdana"/>
          <w:color w:val="000000"/>
          <w:lang w:val="es-CO"/>
        </w:rPr>
        <w:t xml:space="preserve"> </w:t>
      </w:r>
      <w:r w:rsidR="0076273D">
        <w:rPr>
          <w:rFonts w:ascii="Verdana" w:eastAsia="Verdana" w:hAnsi="Verdana" w:cs="Verdana"/>
        </w:rPr>
        <w:t xml:space="preserve">se adoptan el Protocolo de Cuantificación y Reporte de emisiones del ROE, la Guía Técnica de la Plataforma ROE y </w:t>
      </w:r>
      <w:r w:rsidRPr="008F44A9">
        <w:rPr>
          <w:rFonts w:ascii="Verdana" w:eastAsia="Verdana" w:hAnsi="Verdana" w:cs="Verdana"/>
          <w:color w:val="000000"/>
          <w:lang w:val="es-CO"/>
        </w:rPr>
        <w:t xml:space="preserve">se establecen las disposiciones para la administración y funcionamiento del ROE como parte del Sistema de Información Ambiental de Colombia (SIAC), asegurando </w:t>
      </w:r>
      <w:r w:rsidR="00A11E63">
        <w:rPr>
          <w:rFonts w:ascii="Verdana" w:eastAsia="Verdana" w:hAnsi="Verdana" w:cs="Verdana"/>
          <w:color w:val="000000"/>
          <w:lang w:val="es-CO"/>
        </w:rPr>
        <w:t xml:space="preserve">su </w:t>
      </w:r>
      <w:r w:rsidRPr="008F44A9">
        <w:rPr>
          <w:rFonts w:ascii="Verdana" w:eastAsia="Verdana" w:hAnsi="Verdana" w:cs="Verdana"/>
          <w:color w:val="000000"/>
          <w:lang w:val="es-CO"/>
        </w:rPr>
        <w:t>articulación con los sistemas</w:t>
      </w:r>
      <w:r w:rsidR="00B200CB">
        <w:rPr>
          <w:rFonts w:ascii="Verdana" w:eastAsia="Verdana" w:hAnsi="Verdana" w:cs="Verdana"/>
          <w:color w:val="000000"/>
          <w:lang w:val="es-CO"/>
        </w:rPr>
        <w:t xml:space="preserve">, instrumentos y herramientas que provea </w:t>
      </w:r>
      <w:r w:rsidR="00211544">
        <w:rPr>
          <w:rFonts w:ascii="Verdana" w:eastAsia="Verdana" w:hAnsi="Verdana" w:cs="Verdana"/>
          <w:color w:val="000000"/>
          <w:lang w:val="es-CO"/>
        </w:rPr>
        <w:t xml:space="preserve">o generen </w:t>
      </w:r>
      <w:r w:rsidRPr="008F44A9">
        <w:rPr>
          <w:rFonts w:ascii="Verdana" w:eastAsia="Verdana" w:hAnsi="Verdana" w:cs="Verdana"/>
          <w:color w:val="000000"/>
          <w:lang w:val="es-CO"/>
        </w:rPr>
        <w:t>información para la gestión del cambio climático, en particular el Sistema Nacional de Información sobre Cambio Climático (SNICC)</w:t>
      </w:r>
      <w:r w:rsidR="00674949">
        <w:rPr>
          <w:rFonts w:ascii="Verdana" w:eastAsia="Verdana" w:hAnsi="Verdana" w:cs="Verdana"/>
          <w:color w:val="000000"/>
          <w:lang w:val="es-CO"/>
        </w:rPr>
        <w:t>.</w:t>
      </w:r>
    </w:p>
    <w:p w14:paraId="3445CF29" w14:textId="5C3ED148" w:rsidR="000A3508" w:rsidRDefault="00880DC3">
      <w:pPr>
        <w:jc w:val="both"/>
        <w:rPr>
          <w:rFonts w:ascii="Verdana" w:eastAsia="Verdana" w:hAnsi="Verdana" w:cs="Verdana"/>
          <w:color w:val="000000"/>
        </w:rPr>
      </w:pPr>
      <w:r w:rsidRPr="005933A6">
        <w:rPr>
          <w:rFonts w:ascii="Verdana" w:eastAsia="Verdana" w:hAnsi="Verdana" w:cs="Verdana"/>
          <w:b/>
          <w:bCs/>
          <w:color w:val="000000"/>
        </w:rPr>
        <w:t xml:space="preserve">Artículo 2. Ámbito de aplicación. </w:t>
      </w:r>
      <w:r w:rsidRPr="005933A6">
        <w:rPr>
          <w:rFonts w:ascii="Verdana" w:eastAsia="Verdana" w:hAnsi="Verdana" w:cs="Verdana"/>
          <w:color w:val="000000"/>
        </w:rPr>
        <w:t>La presente Resolución aplica a las personas jurídicas públicas, privadas o mixtas que tengan obligaciones de cuantificación y reporte de las emisiones directas e indirectas de GEI, según los criterios definidos en el Artículo 1</w:t>
      </w:r>
      <w:r w:rsidR="008644BD" w:rsidRPr="005933A6">
        <w:rPr>
          <w:rFonts w:ascii="Verdana" w:eastAsia="Verdana" w:hAnsi="Verdana" w:cs="Verdana"/>
          <w:color w:val="000000"/>
        </w:rPr>
        <w:t>1</w:t>
      </w:r>
      <w:r w:rsidR="00C41487" w:rsidRPr="005933A6">
        <w:rPr>
          <w:rFonts w:ascii="Verdana" w:eastAsia="Verdana" w:hAnsi="Verdana" w:cs="Verdana"/>
          <w:color w:val="000000"/>
        </w:rPr>
        <w:t xml:space="preserve"> de la presente resolución</w:t>
      </w:r>
      <w:r w:rsidRPr="005933A6">
        <w:rPr>
          <w:rFonts w:ascii="Verdana" w:eastAsia="Verdana" w:hAnsi="Verdana" w:cs="Verdana"/>
          <w:color w:val="000000"/>
        </w:rPr>
        <w:t xml:space="preserve">, así como </w:t>
      </w:r>
      <w:r w:rsidR="00484AD9" w:rsidRPr="005933A6">
        <w:rPr>
          <w:rFonts w:ascii="Verdana" w:eastAsia="Verdana" w:hAnsi="Verdana" w:cs="Verdana"/>
          <w:color w:val="000000"/>
        </w:rPr>
        <w:t xml:space="preserve">a </w:t>
      </w:r>
      <w:r w:rsidR="00B51592" w:rsidRPr="005933A6">
        <w:rPr>
          <w:rFonts w:ascii="Verdana" w:eastAsia="Verdana" w:hAnsi="Verdana" w:cs="Verdana"/>
          <w:color w:val="000000"/>
        </w:rPr>
        <w:t>las</w:t>
      </w:r>
      <w:r w:rsidR="00484AD9" w:rsidRPr="005933A6">
        <w:rPr>
          <w:rFonts w:ascii="Verdana" w:eastAsia="Verdana" w:hAnsi="Verdana" w:cs="Verdana"/>
          <w:color w:val="000000"/>
        </w:rPr>
        <w:t xml:space="preserve"> </w:t>
      </w:r>
      <w:r w:rsidR="00B51592" w:rsidRPr="005933A6">
        <w:rPr>
          <w:rFonts w:ascii="Verdana" w:eastAsia="Verdana" w:hAnsi="Verdana" w:cs="Verdana"/>
          <w:color w:val="000000"/>
        </w:rPr>
        <w:t>personas jurídicas que deban presentar la autodeclaración de las emisiones de GEI</w:t>
      </w:r>
      <w:r w:rsidR="00484AD9" w:rsidRPr="005933A6">
        <w:rPr>
          <w:rFonts w:ascii="Verdana" w:eastAsia="Verdana" w:hAnsi="Verdana" w:cs="Verdana"/>
          <w:color w:val="000000"/>
        </w:rPr>
        <w:t xml:space="preserve"> a que se refiere </w:t>
      </w:r>
      <w:r w:rsidR="00B51592" w:rsidRPr="005933A6">
        <w:rPr>
          <w:rFonts w:ascii="Verdana" w:eastAsia="Verdana" w:hAnsi="Verdana" w:cs="Verdana"/>
          <w:color w:val="000000"/>
        </w:rPr>
        <w:t xml:space="preserve">el </w:t>
      </w:r>
      <w:r w:rsidR="0046028B" w:rsidRPr="005933A6">
        <w:rPr>
          <w:rFonts w:ascii="Verdana" w:eastAsia="Verdana" w:hAnsi="Verdana" w:cs="Verdana"/>
          <w:color w:val="000000"/>
        </w:rPr>
        <w:t>a</w:t>
      </w:r>
      <w:r w:rsidR="00B51592" w:rsidRPr="005933A6">
        <w:rPr>
          <w:rFonts w:ascii="Verdana" w:eastAsia="Verdana" w:hAnsi="Verdana" w:cs="Verdana"/>
          <w:color w:val="000000"/>
        </w:rPr>
        <w:t xml:space="preserve">rtículo </w:t>
      </w:r>
      <w:r w:rsidR="00EC74F5" w:rsidRPr="005933A6">
        <w:rPr>
          <w:rFonts w:ascii="Verdana" w:eastAsia="Verdana" w:hAnsi="Verdana" w:cs="Verdana"/>
          <w:color w:val="000000"/>
        </w:rPr>
        <w:t>22</w:t>
      </w:r>
      <w:r w:rsidR="00BA53DF" w:rsidRPr="005933A6">
        <w:rPr>
          <w:rFonts w:ascii="Verdana" w:eastAsia="Verdana" w:hAnsi="Verdana" w:cs="Verdana"/>
          <w:color w:val="000000"/>
        </w:rPr>
        <w:t xml:space="preserve"> de </w:t>
      </w:r>
      <w:r w:rsidR="005933A6" w:rsidRPr="005933A6">
        <w:rPr>
          <w:rFonts w:ascii="Verdana" w:eastAsia="Verdana" w:hAnsi="Verdana" w:cs="Verdana"/>
          <w:color w:val="000000"/>
        </w:rPr>
        <w:t>la misma</w:t>
      </w:r>
      <w:r w:rsidR="007B39A6" w:rsidRPr="005933A6">
        <w:rPr>
          <w:rFonts w:ascii="Verdana" w:eastAsia="Verdana" w:hAnsi="Verdana" w:cs="Verdana"/>
          <w:color w:val="000000"/>
        </w:rPr>
        <w:t xml:space="preserve">, </w:t>
      </w:r>
      <w:r w:rsidRPr="005933A6">
        <w:rPr>
          <w:rFonts w:ascii="Verdana" w:eastAsia="Verdana" w:hAnsi="Verdana" w:cs="Verdana"/>
          <w:color w:val="000000"/>
        </w:rPr>
        <w:t xml:space="preserve">a las entidades que integran </w:t>
      </w:r>
      <w:r w:rsidR="00477C8B" w:rsidRPr="005933A6">
        <w:rPr>
          <w:rFonts w:ascii="Verdana" w:eastAsia="Verdana" w:hAnsi="Verdana" w:cs="Verdana"/>
          <w:color w:val="000000"/>
        </w:rPr>
        <w:t xml:space="preserve">la unidad técnica de apoyo </w:t>
      </w:r>
      <w:r w:rsidR="007A61B8" w:rsidRPr="005933A6">
        <w:rPr>
          <w:rFonts w:ascii="Verdana" w:eastAsia="Verdana" w:hAnsi="Verdana" w:cs="Verdana"/>
          <w:color w:val="000000"/>
        </w:rPr>
        <w:t>del ROE</w:t>
      </w:r>
      <w:r w:rsidRPr="005933A6">
        <w:rPr>
          <w:rFonts w:ascii="Verdana" w:eastAsia="Verdana" w:hAnsi="Verdana" w:cs="Verdana"/>
          <w:color w:val="000000"/>
        </w:rPr>
        <w:t xml:space="preserve"> y al Ministerio de Ambiente y Desarrollo Sostenible como entidad encargada de su coordinación.</w:t>
      </w:r>
      <w:r>
        <w:rPr>
          <w:rFonts w:ascii="Verdana" w:eastAsia="Verdana" w:hAnsi="Verdana" w:cs="Verdana"/>
          <w:color w:val="000000"/>
        </w:rPr>
        <w:t xml:space="preserve"> </w:t>
      </w:r>
    </w:p>
    <w:p w14:paraId="3445CF2A" w14:textId="77777777"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Artículo 3. Definiciones. </w:t>
      </w:r>
      <w:r>
        <w:rPr>
          <w:rFonts w:ascii="Verdana" w:eastAsia="Verdana" w:hAnsi="Verdana" w:cs="Verdana"/>
          <w:color w:val="000000"/>
        </w:rPr>
        <w:t xml:space="preserve">Para la interpretación </w:t>
      </w:r>
      <w:sdt>
        <w:sdtPr>
          <w:tag w:val="goog_rdk_39"/>
          <w:id w:val="-1326043968"/>
        </w:sdtPr>
        <w:sdtContent>
          <w:r>
            <w:rPr>
              <w:rFonts w:ascii="Verdana" w:eastAsia="Verdana" w:hAnsi="Verdana" w:cs="Verdana"/>
              <w:color w:val="000000"/>
            </w:rPr>
            <w:t xml:space="preserve">y aplicación </w:t>
          </w:r>
        </w:sdtContent>
      </w:sdt>
      <w:r>
        <w:rPr>
          <w:rFonts w:ascii="Verdana" w:eastAsia="Verdana" w:hAnsi="Verdana" w:cs="Verdana"/>
          <w:color w:val="000000"/>
        </w:rPr>
        <w:t>de la presente resolución se adoptan las siguientes definiciones:</w:t>
      </w:r>
    </w:p>
    <w:p w14:paraId="3445CF2B"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3445CF31" w14:textId="72DA4679" w:rsidR="000A3508" w:rsidRPr="00C41487" w:rsidRDefault="00880DC3" w:rsidP="004D3D25">
      <w:pPr>
        <w:numPr>
          <w:ilvl w:val="0"/>
          <w:numId w:val="7"/>
        </w:numPr>
        <w:pBdr>
          <w:top w:val="nil"/>
          <w:left w:val="nil"/>
          <w:bottom w:val="nil"/>
          <w:right w:val="nil"/>
          <w:between w:val="nil"/>
        </w:pBdr>
        <w:shd w:val="clear" w:color="auto" w:fill="FFFFFF"/>
        <w:spacing w:after="0" w:line="240" w:lineRule="auto"/>
        <w:jc w:val="both"/>
        <w:rPr>
          <w:rFonts w:ascii="Verdana" w:eastAsia="Verdana" w:hAnsi="Verdana" w:cs="Verdana"/>
          <w:b/>
          <w:bCs/>
          <w:color w:val="000000"/>
        </w:rPr>
      </w:pPr>
      <w:r>
        <w:rPr>
          <w:rFonts w:ascii="Verdana" w:eastAsia="Verdana" w:hAnsi="Verdana" w:cs="Verdana"/>
          <w:b/>
          <w:bCs/>
          <w:color w:val="000000"/>
        </w:rPr>
        <w:t>Autodeclaración de las emisiones de GEI:</w:t>
      </w:r>
      <w:r>
        <w:rPr>
          <w:rFonts w:ascii="Verdana" w:eastAsia="Verdana" w:hAnsi="Verdana" w:cs="Verdana"/>
          <w:color w:val="000000"/>
        </w:rPr>
        <w:t xml:space="preserve"> Documento a través del cual las personas jurídicas públicas, privadas o mixtas declaran que las emisiones directas e indirectas cuantificadas para un periodo de reporte no superan el </w:t>
      </w:r>
      <w:r w:rsidRPr="00C41487">
        <w:rPr>
          <w:rFonts w:ascii="Verdana" w:eastAsia="Verdana" w:hAnsi="Verdana" w:cs="Verdana"/>
          <w:color w:val="000000"/>
        </w:rPr>
        <w:t>nivel de emisiones de GEI de</w:t>
      </w:r>
      <w:r w:rsidR="00FA4763" w:rsidRPr="00C41487">
        <w:rPr>
          <w:rFonts w:ascii="Verdana" w:eastAsia="Verdana" w:hAnsi="Verdana" w:cs="Verdana"/>
          <w:color w:val="000000"/>
        </w:rPr>
        <w:t>terminado en</w:t>
      </w:r>
      <w:r w:rsidRPr="00C41487">
        <w:rPr>
          <w:rFonts w:ascii="Verdana" w:eastAsia="Verdana" w:hAnsi="Verdana" w:cs="Verdana"/>
          <w:color w:val="000000"/>
        </w:rPr>
        <w:t xml:space="preserve"> la presente resolución.  </w:t>
      </w:r>
    </w:p>
    <w:p w14:paraId="3445CF33" w14:textId="5E95C00E" w:rsidR="000A3508" w:rsidRPr="005933A6" w:rsidRDefault="00880DC3" w:rsidP="004D3D25">
      <w:pPr>
        <w:numPr>
          <w:ilvl w:val="0"/>
          <w:numId w:val="7"/>
        </w:numPr>
        <w:pBdr>
          <w:top w:val="nil"/>
          <w:left w:val="nil"/>
          <w:bottom w:val="nil"/>
          <w:right w:val="nil"/>
          <w:between w:val="nil"/>
        </w:pBdr>
        <w:shd w:val="clear" w:color="auto" w:fill="FFFFFF"/>
        <w:spacing w:after="0" w:line="240" w:lineRule="auto"/>
        <w:jc w:val="both"/>
        <w:rPr>
          <w:rFonts w:ascii="Verdana" w:eastAsia="Verdana" w:hAnsi="Verdana" w:cs="Verdana"/>
          <w:color w:val="000000"/>
        </w:rPr>
      </w:pPr>
      <w:r w:rsidRPr="00C41487">
        <w:rPr>
          <w:rFonts w:ascii="Verdana" w:eastAsia="Verdana" w:hAnsi="Verdana" w:cs="Verdana"/>
          <w:b/>
          <w:bCs/>
          <w:color w:val="000000"/>
        </w:rPr>
        <w:lastRenderedPageBreak/>
        <w:t xml:space="preserve">Dato de actividad: </w:t>
      </w:r>
      <w:r w:rsidRPr="00C41487">
        <w:rPr>
          <w:rFonts w:ascii="Verdana" w:eastAsia="Verdana" w:hAnsi="Verdana" w:cs="Verdana"/>
          <w:color w:val="000000"/>
        </w:rPr>
        <w:t xml:space="preserve">Medida cuantitativa que representa el nivel de actividad o magnitud de un proceso que genera emisiones de GEI. Este valor se utiliza como insumo en el cálculo de emisiones, al ser multiplicado por el factor de emisión correspondiente para estimar la cantidad de GEI </w:t>
      </w:r>
      <w:sdt>
        <w:sdtPr>
          <w:tag w:val="goog_rdk_40"/>
          <w:id w:val="-481880822"/>
        </w:sdtPr>
        <w:sdtContent/>
      </w:sdt>
      <w:r w:rsidRPr="00C41487">
        <w:rPr>
          <w:rFonts w:ascii="Verdana" w:eastAsia="Verdana" w:hAnsi="Verdana" w:cs="Verdana"/>
          <w:color w:val="000000"/>
        </w:rPr>
        <w:t>emitidos</w:t>
      </w:r>
      <w:r w:rsidR="007D3A41" w:rsidRPr="00C41487">
        <w:rPr>
          <w:rFonts w:ascii="Verdana" w:eastAsia="Verdana" w:hAnsi="Verdana" w:cs="Verdana"/>
          <w:color w:val="000000"/>
        </w:rPr>
        <w:t xml:space="preserve">, </w:t>
      </w:r>
      <w:r w:rsidR="007D3A41" w:rsidRPr="005933A6">
        <w:rPr>
          <w:rFonts w:ascii="Verdana" w:eastAsia="Verdana" w:hAnsi="Verdana" w:cs="Verdana"/>
          <w:color w:val="000000"/>
        </w:rPr>
        <w:t>los cuales se expresan</w:t>
      </w:r>
      <w:r w:rsidR="003040B8" w:rsidRPr="005933A6">
        <w:rPr>
          <w:rFonts w:ascii="Verdana" w:eastAsia="Verdana" w:hAnsi="Verdana" w:cs="Verdana"/>
          <w:color w:val="000000"/>
        </w:rPr>
        <w:t xml:space="preserve"> </w:t>
      </w:r>
      <w:r w:rsidR="00BC163B" w:rsidRPr="005933A6">
        <w:rPr>
          <w:rFonts w:ascii="Verdana" w:eastAsia="Verdana" w:hAnsi="Verdana" w:cs="Verdana"/>
          <w:color w:val="000000"/>
        </w:rPr>
        <w:t>en</w:t>
      </w:r>
      <w:r w:rsidR="003040B8" w:rsidRPr="005933A6">
        <w:rPr>
          <w:rFonts w:ascii="Verdana" w:eastAsia="Verdana" w:hAnsi="Verdana" w:cs="Verdana"/>
          <w:color w:val="000000"/>
        </w:rPr>
        <w:t xml:space="preserve"> toneladas </w:t>
      </w:r>
      <w:r w:rsidR="00BC163B" w:rsidRPr="005933A6">
        <w:rPr>
          <w:rFonts w:ascii="Verdana" w:eastAsia="Verdana" w:hAnsi="Verdana" w:cs="Verdana"/>
          <w:color w:val="000000"/>
        </w:rPr>
        <w:t>de CO</w:t>
      </w:r>
      <w:r w:rsidR="00BC163B" w:rsidRPr="005933A6">
        <w:rPr>
          <w:rFonts w:ascii="Verdana" w:eastAsia="Verdana" w:hAnsi="Verdana" w:cs="Verdana"/>
          <w:color w:val="000000"/>
          <w:vertAlign w:val="subscript"/>
        </w:rPr>
        <w:t>2</w:t>
      </w:r>
      <w:r w:rsidR="00BC163B" w:rsidRPr="005933A6">
        <w:rPr>
          <w:rFonts w:ascii="Verdana" w:eastAsia="Verdana" w:hAnsi="Verdana" w:cs="Verdana"/>
          <w:color w:val="000000"/>
        </w:rPr>
        <w:t xml:space="preserve"> equivalente</w:t>
      </w:r>
      <w:r w:rsidRPr="005933A6">
        <w:rPr>
          <w:rFonts w:ascii="Verdana" w:eastAsia="Verdana" w:hAnsi="Verdana" w:cs="Verdana"/>
          <w:color w:val="000000"/>
        </w:rPr>
        <w:t>.</w:t>
      </w:r>
    </w:p>
    <w:p w14:paraId="3445CF36" w14:textId="20FD8D26" w:rsidR="000A3508" w:rsidRPr="00E70E3C" w:rsidRDefault="00880DC3" w:rsidP="004D3D25">
      <w:pPr>
        <w:numPr>
          <w:ilvl w:val="0"/>
          <w:numId w:val="7"/>
        </w:numPr>
        <w:pBdr>
          <w:top w:val="nil"/>
          <w:left w:val="nil"/>
          <w:bottom w:val="nil"/>
          <w:right w:val="nil"/>
          <w:between w:val="nil"/>
        </w:pBdr>
        <w:spacing w:after="0" w:line="240" w:lineRule="auto"/>
        <w:jc w:val="both"/>
        <w:rPr>
          <w:rFonts w:ascii="Verdana" w:eastAsia="Verdana" w:hAnsi="Verdana" w:cs="Verdana"/>
          <w:b/>
          <w:bCs/>
          <w:color w:val="000000"/>
        </w:rPr>
      </w:pPr>
      <w:r>
        <w:rPr>
          <w:rFonts w:ascii="Verdana" w:eastAsia="Verdana" w:hAnsi="Verdana" w:cs="Verdana"/>
          <w:b/>
          <w:bCs/>
          <w:color w:val="000000"/>
        </w:rPr>
        <w:t>Emisiones biogénicas de CO</w:t>
      </w:r>
      <w:r w:rsidRPr="004D3D25">
        <w:rPr>
          <w:rFonts w:ascii="Verdana" w:eastAsia="Verdana" w:hAnsi="Verdana" w:cs="Verdana"/>
          <w:b/>
          <w:bCs/>
          <w:color w:val="000000"/>
          <w:vertAlign w:val="subscript"/>
        </w:rPr>
        <w:t>2</w:t>
      </w:r>
      <w:r>
        <w:rPr>
          <w:rFonts w:ascii="Verdana" w:eastAsia="Verdana" w:hAnsi="Verdana" w:cs="Verdana"/>
          <w:b/>
          <w:bCs/>
          <w:color w:val="000000"/>
        </w:rPr>
        <w:t>:</w:t>
      </w:r>
      <w:r>
        <w:rPr>
          <w:rFonts w:ascii="Verdana" w:eastAsia="Verdana" w:hAnsi="Verdana" w:cs="Verdana"/>
          <w:color w:val="000000"/>
        </w:rPr>
        <w:t xml:space="preserve"> hace referencia a las emisiones de dióxido de carbono que proceden de la oxidación de la biomasa, en procesos de combustión de materiales sólidos (Bagazo, Fibra de palma, Cuesco de palma, Raquis de palma, Cascarilla de Arroz, Borra de Café, Cisco de Café, Leña, Madera Genérica, Madera Eucalipto, Madera Pino, Madera Acacia, Madera Melina, Carbón Vegetal), líquidos (Biodiesel, Bioetanol</w:t>
      </w:r>
      <w:r w:rsidR="00AF0BB8">
        <w:rPr>
          <w:rFonts w:ascii="Verdana" w:eastAsia="Verdana" w:hAnsi="Verdana" w:cs="Verdana"/>
          <w:color w:val="000000"/>
        </w:rPr>
        <w:t>)</w:t>
      </w:r>
      <w:r>
        <w:rPr>
          <w:rFonts w:ascii="Verdana" w:eastAsia="Verdana" w:hAnsi="Verdana" w:cs="Verdana"/>
          <w:color w:val="000000"/>
        </w:rPr>
        <w:t xml:space="preserve"> o gaseosos (Biogás), entre otros.</w:t>
      </w:r>
    </w:p>
    <w:p w14:paraId="3445CF39" w14:textId="5285600B" w:rsidR="000A3508" w:rsidRDefault="00880DC3" w:rsidP="004D3D25">
      <w:pPr>
        <w:numPr>
          <w:ilvl w:val="0"/>
          <w:numId w:val="7"/>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Emisiones de GEI:</w:t>
      </w:r>
      <w:r>
        <w:rPr>
          <w:rFonts w:ascii="Verdana" w:eastAsia="Verdana" w:hAnsi="Verdana" w:cs="Verdana"/>
          <w:color w:val="000000"/>
        </w:rPr>
        <w:t xml:space="preserve"> Liberación a la </w:t>
      </w:r>
      <w:r>
        <w:rPr>
          <w:rFonts w:ascii="Verdana" w:eastAsia="Verdana" w:hAnsi="Verdana" w:cs="Verdana"/>
        </w:rPr>
        <w:t>atmósfera</w:t>
      </w:r>
      <w:r>
        <w:rPr>
          <w:rFonts w:ascii="Verdana" w:eastAsia="Verdana" w:hAnsi="Verdana" w:cs="Verdana"/>
          <w:color w:val="000000"/>
        </w:rPr>
        <w:t xml:space="preserve"> de gases que contribuyen al cambio climático por su capacidad de absorber, retener y reemitir radiación infrarroja. Bajo la presente resolución estas emisiones hacen referencia a las emisiones de Gases de Efecto Invernadero (GEI) que ocurren por las actividades que realizan las personas jurídicas públicas, privadas o mixtas y pueden ser clasificadas en emisiones directas e indirectas de GEI. </w:t>
      </w:r>
    </w:p>
    <w:p w14:paraId="3445CF3B" w14:textId="231559AA"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Emisiones directas de GEI: </w:t>
      </w:r>
      <w:r>
        <w:rPr>
          <w:rFonts w:ascii="Verdana" w:eastAsia="Verdana" w:hAnsi="Verdana" w:cs="Verdana"/>
          <w:color w:val="000000"/>
        </w:rPr>
        <w:t>Hace referencia a las</w:t>
      </w:r>
      <w:r>
        <w:rPr>
          <w:rFonts w:ascii="Verdana" w:eastAsia="Verdana" w:hAnsi="Verdana" w:cs="Verdana"/>
          <w:b/>
          <w:bCs/>
          <w:color w:val="000000"/>
        </w:rPr>
        <w:t xml:space="preserve"> </w:t>
      </w:r>
      <w:r>
        <w:rPr>
          <w:rFonts w:ascii="Verdana" w:eastAsia="Verdana" w:hAnsi="Verdana" w:cs="Verdana"/>
          <w:color w:val="000000"/>
        </w:rPr>
        <w:t xml:space="preserve">emisiones de GEI, que ocurren en fuentes de emisión de GEI de propiedad o controladas por la organización que reporta. También se entenderán como emisiones directas las emisiones de alcance 1 según </w:t>
      </w:r>
      <w:r w:rsidRPr="004D3D25">
        <w:rPr>
          <w:rFonts w:ascii="Verdana" w:eastAsia="Verdana" w:hAnsi="Verdana" w:cs="Verdana"/>
          <w:i/>
          <w:iCs/>
          <w:color w:val="000000"/>
        </w:rPr>
        <w:t xml:space="preserve">el </w:t>
      </w:r>
      <w:r w:rsidR="007A61B8" w:rsidRPr="004D3D25">
        <w:rPr>
          <w:rFonts w:ascii="Verdana" w:eastAsia="Verdana" w:hAnsi="Verdana" w:cs="Verdana"/>
          <w:i/>
          <w:iCs/>
          <w:color w:val="000000"/>
        </w:rPr>
        <w:t>“</w:t>
      </w:r>
      <w:r w:rsidR="00CA537F" w:rsidRPr="004D3D25">
        <w:rPr>
          <w:rFonts w:ascii="Verdana" w:eastAsia="Verdana" w:hAnsi="Verdana" w:cs="Verdana"/>
          <w:i/>
          <w:iCs/>
          <w:color w:val="000000"/>
        </w:rPr>
        <w:t>Estándar</w:t>
      </w:r>
      <w:r w:rsidR="007A61B8" w:rsidRPr="004D3D25">
        <w:rPr>
          <w:rFonts w:ascii="Verdana" w:eastAsia="Verdana" w:hAnsi="Verdana" w:cs="Verdana"/>
          <w:i/>
          <w:iCs/>
          <w:color w:val="000000"/>
        </w:rPr>
        <w:t xml:space="preserve"> </w:t>
      </w:r>
      <w:r w:rsidR="00227986" w:rsidRPr="004D3D25">
        <w:rPr>
          <w:rFonts w:ascii="Verdana" w:eastAsia="Verdana" w:hAnsi="Verdana" w:cs="Verdana"/>
          <w:i/>
          <w:iCs/>
          <w:color w:val="000000"/>
        </w:rPr>
        <w:t xml:space="preserve">Corporativo de Contabilidad y Reporte </w:t>
      </w:r>
      <w:r w:rsidR="00CA537F" w:rsidRPr="004D3D25">
        <w:rPr>
          <w:rFonts w:ascii="Verdana" w:eastAsia="Verdana" w:hAnsi="Verdana" w:cs="Verdana"/>
          <w:i/>
          <w:iCs/>
          <w:color w:val="000000"/>
        </w:rPr>
        <w:t xml:space="preserve">del GHG </w:t>
      </w:r>
      <w:proofErr w:type="spellStart"/>
      <w:r w:rsidR="00CA537F" w:rsidRPr="004D3D25">
        <w:rPr>
          <w:rFonts w:ascii="Verdana" w:eastAsia="Verdana" w:hAnsi="Verdana" w:cs="Verdana"/>
          <w:i/>
          <w:iCs/>
          <w:color w:val="000000"/>
        </w:rPr>
        <w:t>Protocol</w:t>
      </w:r>
      <w:proofErr w:type="spellEnd"/>
      <w:r w:rsidR="00CA537F" w:rsidRPr="004D3D25">
        <w:rPr>
          <w:rFonts w:ascii="Verdana" w:eastAsia="Verdana" w:hAnsi="Verdana" w:cs="Verdana"/>
          <w:i/>
          <w:iCs/>
          <w:color w:val="000000"/>
        </w:rPr>
        <w:t>”</w:t>
      </w:r>
      <w:r w:rsidR="00CA537F">
        <w:rPr>
          <w:rFonts w:ascii="Verdana" w:eastAsia="Verdana" w:hAnsi="Verdana" w:cs="Verdana"/>
          <w:color w:val="000000"/>
        </w:rPr>
        <w:t xml:space="preserve"> </w:t>
      </w:r>
      <w:r>
        <w:rPr>
          <w:rFonts w:ascii="Verdana" w:eastAsia="Verdana" w:hAnsi="Verdana" w:cs="Verdana"/>
          <w:color w:val="000000"/>
        </w:rPr>
        <w:t>o de emisiones directas según la NTC ISO 14064-1:2020, o la que modifique o sustituya. Incluyen actividades como</w:t>
      </w:r>
      <w:sdt>
        <w:sdtPr>
          <w:tag w:val="goog_rdk_42"/>
          <w:id w:val="287223666"/>
          <w:showingPlcHdr/>
        </w:sdtPr>
        <w:sdtContent>
          <w:r w:rsidR="00A642AE">
            <w:t xml:space="preserve">     </w:t>
          </w:r>
        </w:sdtContent>
      </w:sdt>
      <w:r>
        <w:rPr>
          <w:rFonts w:ascii="Verdana" w:eastAsia="Verdana" w:hAnsi="Verdana" w:cs="Verdana"/>
          <w:color w:val="000000"/>
        </w:rPr>
        <w:t xml:space="preserve"> la quema de combustibles fósiles en fuentes estacionarias y fuentes móviles, procesos industriales y uso de productos, emisiones fugitivas, uso de refrigerantes, disposición y tratamiento de residuos, ganadería, agricultura y uso del suelo, entre otras.</w:t>
      </w:r>
    </w:p>
    <w:p w14:paraId="3445CF3D" w14:textId="434D8C37"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Emisiones indirectas de GEI:</w:t>
      </w:r>
      <w:r>
        <w:rPr>
          <w:rFonts w:ascii="Verdana" w:eastAsia="Verdana" w:hAnsi="Verdana" w:cs="Verdana"/>
          <w:color w:val="000000"/>
        </w:rPr>
        <w:t xml:space="preserve"> Hace referencia a las emisiones de GEI, que se originan en fuentes de emisión de GEI externas que no son controladas o de propiedad de la organización que reporta. También se entenderán como emisiones indirectas, las emisiones de alcance 2 y 3 según el</w:t>
      </w:r>
      <w:r w:rsidR="009B3D90">
        <w:rPr>
          <w:rFonts w:ascii="Verdana" w:eastAsia="Verdana" w:hAnsi="Verdana" w:cs="Verdana"/>
          <w:color w:val="000000"/>
        </w:rPr>
        <w:t xml:space="preserve"> </w:t>
      </w:r>
      <w:r w:rsidR="009B3D90" w:rsidRPr="004D3D25">
        <w:rPr>
          <w:rFonts w:ascii="Verdana" w:eastAsia="Verdana" w:hAnsi="Verdana" w:cs="Verdana"/>
          <w:i/>
          <w:iCs/>
          <w:color w:val="000000"/>
        </w:rPr>
        <w:t xml:space="preserve">“Estándar Corporativo de Contabilidad y Reporte del GHG </w:t>
      </w:r>
      <w:proofErr w:type="spellStart"/>
      <w:r w:rsidR="009B3D90" w:rsidRPr="004D3D25">
        <w:rPr>
          <w:rFonts w:ascii="Verdana" w:eastAsia="Verdana" w:hAnsi="Verdana" w:cs="Verdana"/>
          <w:i/>
          <w:iCs/>
          <w:color w:val="000000"/>
        </w:rPr>
        <w:t>Protocol</w:t>
      </w:r>
      <w:proofErr w:type="spellEnd"/>
      <w:r w:rsidR="009B3D90" w:rsidRPr="004D3D25">
        <w:rPr>
          <w:rFonts w:ascii="Verdana" w:eastAsia="Verdana" w:hAnsi="Verdana" w:cs="Verdana"/>
          <w:i/>
          <w:iCs/>
          <w:color w:val="000000"/>
        </w:rPr>
        <w:t>”</w:t>
      </w:r>
      <w:r w:rsidR="009B3D90">
        <w:rPr>
          <w:rFonts w:ascii="Verdana" w:eastAsia="Verdana" w:hAnsi="Verdana" w:cs="Verdana"/>
          <w:color w:val="000000"/>
        </w:rPr>
        <w:t xml:space="preserve"> </w:t>
      </w:r>
      <w:r>
        <w:rPr>
          <w:rFonts w:ascii="Verdana" w:eastAsia="Verdana" w:hAnsi="Verdana" w:cs="Verdana"/>
          <w:color w:val="000000"/>
        </w:rPr>
        <w:t xml:space="preserve"> o las emisiones indirectas por energía adquirida, transporte, productos utilizados por la organización, uso de productos de la organización o por otras fuentes según la NTC ISO 14064-1:2020, o la que modifique o sustituya.</w:t>
      </w:r>
    </w:p>
    <w:p w14:paraId="3445CF3F" w14:textId="73FF8697"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Emisiones indirectas de GEI por energía adquirida:</w:t>
      </w:r>
      <w:r>
        <w:rPr>
          <w:rFonts w:ascii="Verdana" w:eastAsia="Verdana" w:hAnsi="Verdana" w:cs="Verdana"/>
          <w:color w:val="000000"/>
        </w:rPr>
        <w:t xml:space="preserve"> Son las emisiones de GEI que ocurren fuera de los límites organizacionales de la organización que reporta, pero que se generan como consecuencia directa del consumo de energía adquirida por parte de la organización. Este alcance incluye las emisiones asociadas a la producción de electricidad, vapor, calor, enfriamiento o aire comprimido que la organización adquiere o importa para su uso interno, aunque dichas emisiones se generen en instalaciones de terceros. También se entenderán como emisiones indirectas de GEI por energía adquirida, las emisiones de alcance 2 según el </w:t>
      </w:r>
      <w:sdt>
        <w:sdtPr>
          <w:tag w:val="goog_rdk_44"/>
          <w:id w:val="-50756573"/>
        </w:sdtPr>
        <w:sdtContent/>
      </w:sdt>
      <w:r w:rsidR="009B3D90">
        <w:rPr>
          <w:rFonts w:ascii="Verdana" w:eastAsia="Verdana" w:hAnsi="Verdana" w:cs="Verdana"/>
          <w:color w:val="000000"/>
        </w:rPr>
        <w:t xml:space="preserve"> </w:t>
      </w:r>
      <w:r w:rsidR="009B3D90" w:rsidRPr="004D3D25">
        <w:rPr>
          <w:rFonts w:ascii="Verdana" w:eastAsia="Verdana" w:hAnsi="Verdana" w:cs="Verdana"/>
          <w:i/>
          <w:iCs/>
          <w:color w:val="000000"/>
        </w:rPr>
        <w:t xml:space="preserve">“Estándar Corporativo de Contabilidad y Reporte del GHG </w:t>
      </w:r>
      <w:proofErr w:type="spellStart"/>
      <w:r w:rsidR="009B3D90" w:rsidRPr="004D3D25">
        <w:rPr>
          <w:rFonts w:ascii="Verdana" w:eastAsia="Verdana" w:hAnsi="Verdana" w:cs="Verdana"/>
          <w:i/>
          <w:iCs/>
          <w:color w:val="000000"/>
        </w:rPr>
        <w:t>Protocol</w:t>
      </w:r>
      <w:proofErr w:type="spellEnd"/>
      <w:r w:rsidR="009B3D90" w:rsidRPr="004D3D25">
        <w:rPr>
          <w:rFonts w:ascii="Verdana" w:eastAsia="Verdana" w:hAnsi="Verdana" w:cs="Verdana"/>
          <w:i/>
          <w:iCs/>
          <w:color w:val="000000"/>
        </w:rPr>
        <w:t>”</w:t>
      </w:r>
      <w:r w:rsidR="009B3D90">
        <w:rPr>
          <w:rFonts w:ascii="Verdana" w:eastAsia="Verdana" w:hAnsi="Verdana" w:cs="Verdana"/>
          <w:color w:val="000000"/>
        </w:rPr>
        <w:t xml:space="preserve"> </w:t>
      </w:r>
      <w:r>
        <w:rPr>
          <w:rFonts w:ascii="Verdana" w:eastAsia="Verdana" w:hAnsi="Verdana" w:cs="Verdana"/>
          <w:color w:val="000000"/>
        </w:rPr>
        <w:t>o las emisiones por energía importada según la NTC ISO 14064-1:2020, o la que se modifique o sustituya.</w:t>
      </w:r>
    </w:p>
    <w:p w14:paraId="6C543356" w14:textId="550DA33B" w:rsidR="00263D90" w:rsidRPr="004D3D25" w:rsidRDefault="00880DC3" w:rsidP="00E70E3C">
      <w:pPr>
        <w:numPr>
          <w:ilvl w:val="0"/>
          <w:numId w:val="7"/>
        </w:numPr>
        <w:pBdr>
          <w:top w:val="nil"/>
          <w:left w:val="nil"/>
          <w:bottom w:val="nil"/>
          <w:right w:val="nil"/>
          <w:between w:val="nil"/>
        </w:pBdr>
        <w:spacing w:after="0" w:line="240" w:lineRule="auto"/>
        <w:jc w:val="both"/>
        <w:rPr>
          <w:rFonts w:ascii="Verdana" w:eastAsia="Verdana" w:hAnsi="Verdana" w:cs="Verdana"/>
          <w:color w:val="000000"/>
        </w:rPr>
      </w:pPr>
      <w:r>
        <w:rPr>
          <w:rFonts w:ascii="Verdana" w:eastAsia="Verdana" w:hAnsi="Verdana" w:cs="Verdana"/>
          <w:color w:val="000000"/>
        </w:rPr>
        <w:t xml:space="preserve"> </w:t>
      </w:r>
      <w:r>
        <w:rPr>
          <w:rFonts w:ascii="Verdana" w:eastAsia="Verdana" w:hAnsi="Verdana" w:cs="Verdana"/>
          <w:b/>
          <w:bCs/>
          <w:color w:val="000000"/>
        </w:rPr>
        <w:t>Enfoque de control:</w:t>
      </w:r>
      <w:r>
        <w:rPr>
          <w:rFonts w:ascii="Verdana" w:eastAsia="Verdana" w:hAnsi="Verdana" w:cs="Verdana"/>
          <w:color w:val="000000"/>
        </w:rPr>
        <w:t xml:space="preserve"> Enfoque a través del cual la organización que reporta sus emisiones de GEI, contabiliza el 100% de sus emisiones de GEI atribuibles a las operaciones sobre las cuales ejerce el control. El enfoque de </w:t>
      </w:r>
      <w:r>
        <w:rPr>
          <w:rFonts w:ascii="Verdana" w:eastAsia="Verdana" w:hAnsi="Verdana" w:cs="Verdana"/>
          <w:color w:val="000000"/>
        </w:rPr>
        <w:lastRenderedPageBreak/>
        <w:t>control para la consolidación de las emisiones puede ser financiero u operacional.</w:t>
      </w:r>
    </w:p>
    <w:p w14:paraId="02550277" w14:textId="41BD60C0" w:rsidR="00263D90" w:rsidRPr="00E70E3C" w:rsidRDefault="00006ECE" w:rsidP="004D3D25">
      <w:pPr>
        <w:numPr>
          <w:ilvl w:val="0"/>
          <w:numId w:val="7"/>
        </w:numPr>
        <w:pBdr>
          <w:top w:val="nil"/>
          <w:left w:val="nil"/>
          <w:bottom w:val="nil"/>
          <w:right w:val="nil"/>
          <w:between w:val="nil"/>
        </w:pBdr>
        <w:shd w:val="clear" w:color="auto" w:fill="FFFFFF"/>
        <w:spacing w:after="0" w:line="240" w:lineRule="auto"/>
        <w:jc w:val="both"/>
        <w:rPr>
          <w:rFonts w:ascii="Verdana" w:eastAsia="Verdana" w:hAnsi="Verdana" w:cs="Verdana"/>
          <w:color w:val="000000"/>
        </w:rPr>
      </w:pPr>
      <w:r>
        <w:rPr>
          <w:rFonts w:ascii="Verdana" w:eastAsia="Verdana" w:hAnsi="Verdana" w:cs="Verdana"/>
          <w:b/>
          <w:bCs/>
          <w:color w:val="000000"/>
        </w:rPr>
        <w:t>Enfoque de c</w:t>
      </w:r>
      <w:r w:rsidR="00263D90">
        <w:rPr>
          <w:rFonts w:ascii="Verdana" w:eastAsia="Verdana" w:hAnsi="Verdana" w:cs="Verdana"/>
          <w:b/>
          <w:bCs/>
          <w:color w:val="000000"/>
        </w:rPr>
        <w:t>ontrol financiero</w:t>
      </w:r>
      <w:r w:rsidR="00263D90">
        <w:rPr>
          <w:rFonts w:ascii="Verdana" w:eastAsia="Verdana" w:hAnsi="Verdana" w:cs="Verdana"/>
          <w:color w:val="000000"/>
        </w:rPr>
        <w:t>: Es la facultad que tiene una organización para dirigir las políticas financieras y operativas de la organización, con miras a obtener un beneficio económico de sus actividades.</w:t>
      </w:r>
    </w:p>
    <w:p w14:paraId="3445CF41" w14:textId="0DAED227" w:rsidR="000A3508" w:rsidRDefault="00006ECE" w:rsidP="004D3D25">
      <w:pPr>
        <w:numPr>
          <w:ilvl w:val="0"/>
          <w:numId w:val="7"/>
        </w:numPr>
        <w:pBdr>
          <w:top w:val="nil"/>
          <w:left w:val="nil"/>
          <w:bottom w:val="nil"/>
          <w:right w:val="nil"/>
          <w:between w:val="nil"/>
        </w:pBdr>
        <w:shd w:val="clear" w:color="auto" w:fill="FFFFFF"/>
        <w:spacing w:after="0" w:line="240" w:lineRule="auto"/>
        <w:jc w:val="both"/>
        <w:rPr>
          <w:rFonts w:ascii="Verdana" w:eastAsia="Verdana" w:hAnsi="Verdana" w:cs="Verdana"/>
          <w:b/>
          <w:bCs/>
          <w:color w:val="000000"/>
        </w:rPr>
      </w:pPr>
      <w:r>
        <w:rPr>
          <w:rFonts w:ascii="Verdana" w:eastAsia="Verdana" w:hAnsi="Verdana" w:cs="Verdana"/>
          <w:b/>
          <w:bCs/>
          <w:color w:val="000000"/>
        </w:rPr>
        <w:t xml:space="preserve"> Enfoque de c</w:t>
      </w:r>
      <w:r w:rsidR="00263D90">
        <w:rPr>
          <w:rFonts w:ascii="Verdana" w:eastAsia="Verdana" w:hAnsi="Verdana" w:cs="Verdana"/>
          <w:b/>
          <w:bCs/>
          <w:color w:val="000000"/>
        </w:rPr>
        <w:t xml:space="preserve">ontrol operacional: </w:t>
      </w:r>
      <w:r w:rsidR="00D662FD" w:rsidRPr="00D662FD">
        <w:rPr>
          <w:rFonts w:ascii="Verdana" w:eastAsia="Verdana" w:hAnsi="Verdana" w:cs="Verdana"/>
          <w:color w:val="000000"/>
        </w:rPr>
        <w:t xml:space="preserve">Enfoque a través del cual la organización que reporta sus emisiones de GEI, contabiliza el 100% de sus emisiones de GEI atribuibles a las operaciones sobre las cuales ejerce el control, teniendo la facultad </w:t>
      </w:r>
      <w:r w:rsidR="00802576">
        <w:rPr>
          <w:rFonts w:ascii="Verdana" w:eastAsia="Verdana" w:hAnsi="Verdana" w:cs="Verdana"/>
          <w:color w:val="000000"/>
        </w:rPr>
        <w:t xml:space="preserve">plena </w:t>
      </w:r>
      <w:r w:rsidR="00D662FD" w:rsidRPr="00D662FD">
        <w:rPr>
          <w:rFonts w:ascii="Verdana" w:eastAsia="Verdana" w:hAnsi="Verdana" w:cs="Verdana"/>
          <w:color w:val="000000"/>
        </w:rPr>
        <w:t>para introducir e implementar políticas operativas, procedimientos técnicos y lineamientos de gestión sobre una instalación, actividad o proceso que genera emisiones de GEI.</w:t>
      </w:r>
      <w:r w:rsidR="00910C00">
        <w:rPr>
          <w:rFonts w:ascii="Verdana" w:eastAsia="Verdana" w:hAnsi="Verdana" w:cs="Verdana"/>
          <w:color w:val="000000"/>
        </w:rPr>
        <w:t xml:space="preserve"> </w:t>
      </w:r>
    </w:p>
    <w:p w14:paraId="3445CF45" w14:textId="051D90C6" w:rsidR="000A3508" w:rsidRDefault="00880DC3" w:rsidP="004D3D25">
      <w:pPr>
        <w:numPr>
          <w:ilvl w:val="0"/>
          <w:numId w:val="7"/>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Factor de emisión de GEI:</w:t>
      </w:r>
      <w:r>
        <w:rPr>
          <w:rFonts w:ascii="Verdana" w:eastAsia="Verdana" w:hAnsi="Verdana" w:cs="Verdana"/>
          <w:color w:val="000000"/>
        </w:rPr>
        <w:t xml:space="preserve"> Coeficiente que al multiplicarse con los datos de actividad permiten cuantificar o estimar las emisiones de GEI de una fuente. Este valor representativo relaciona la cantidad de GEI emitida por una actividad</w:t>
      </w:r>
      <w:sdt>
        <w:sdtPr>
          <w:tag w:val="goog_rdk_45"/>
          <w:id w:val="1143903061"/>
          <w:showingPlcHdr/>
        </w:sdtPr>
        <w:sdtContent>
          <w:r w:rsidR="00A642AE">
            <w:t xml:space="preserve">     </w:t>
          </w:r>
        </w:sdtContent>
      </w:sdt>
      <w:sdt>
        <w:sdtPr>
          <w:tag w:val="goog_rdk_46"/>
          <w:id w:val="1805166498"/>
        </w:sdtPr>
        <w:sdtContent>
          <w:r>
            <w:rPr>
              <w:rFonts w:ascii="Verdana" w:eastAsia="Verdana" w:hAnsi="Verdana" w:cs="Verdana"/>
              <w:color w:val="000000"/>
            </w:rPr>
            <w:t xml:space="preserve"> e</w:t>
          </w:r>
        </w:sdtContent>
      </w:sdt>
      <w:r>
        <w:rPr>
          <w:rFonts w:ascii="Verdana" w:eastAsia="Verdana" w:hAnsi="Verdana" w:cs="Verdana"/>
          <w:color w:val="000000"/>
        </w:rPr>
        <w:t>xpresando la masa del GEI dividida por una unidad de peso, volumen, distancia</w:t>
      </w:r>
      <w:r w:rsidR="00F16BE2">
        <w:rPr>
          <w:rFonts w:ascii="Verdana" w:eastAsia="Verdana" w:hAnsi="Verdana" w:cs="Verdana"/>
          <w:color w:val="000000"/>
        </w:rPr>
        <w:t>,</w:t>
      </w:r>
      <w:r>
        <w:rPr>
          <w:rFonts w:ascii="Verdana" w:eastAsia="Verdana" w:hAnsi="Verdana" w:cs="Verdana"/>
          <w:color w:val="000000"/>
        </w:rPr>
        <w:t xml:space="preserve"> duración</w:t>
      </w:r>
      <w:r w:rsidR="00F16BE2">
        <w:rPr>
          <w:rFonts w:ascii="Verdana" w:eastAsia="Verdana" w:hAnsi="Verdana" w:cs="Verdana"/>
          <w:color w:val="000000"/>
        </w:rPr>
        <w:t xml:space="preserve"> o cualquier otra unidad relacionada con el </w:t>
      </w:r>
      <w:r>
        <w:rPr>
          <w:rFonts w:ascii="Verdana" w:eastAsia="Verdana" w:hAnsi="Verdana" w:cs="Verdana"/>
          <w:color w:val="000000"/>
        </w:rPr>
        <w:t>dato de actividad.</w:t>
      </w:r>
    </w:p>
    <w:p w14:paraId="3445CF47" w14:textId="47FF0E29"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Fuente de emisión de GEI:</w:t>
      </w:r>
      <w:r>
        <w:rPr>
          <w:rFonts w:ascii="Verdana" w:eastAsia="Verdana" w:hAnsi="Verdana" w:cs="Verdana"/>
          <w:color w:val="000000"/>
        </w:rPr>
        <w:t xml:space="preserve"> </w:t>
      </w:r>
      <w:r w:rsidR="00144389" w:rsidRPr="00144389">
        <w:rPr>
          <w:rFonts w:ascii="Verdana" w:eastAsia="Verdana" w:hAnsi="Verdana" w:cs="Verdana"/>
          <w:color w:val="000000"/>
        </w:rPr>
        <w:t>Proceso físico, químico o biológico que libera de manera directa o indirecta GEI a la atmósfera.</w:t>
      </w:r>
    </w:p>
    <w:p w14:paraId="3445CF49" w14:textId="70C3D2BF"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Gases de Efecto Invernadero (GEI):</w:t>
      </w:r>
      <w:r>
        <w:rPr>
          <w:rFonts w:ascii="Verdana" w:eastAsia="Verdana" w:hAnsi="Verdana" w:cs="Verdana"/>
          <w:color w:val="000000"/>
        </w:rPr>
        <w:t xml:space="preserve"> </w:t>
      </w:r>
      <w:r w:rsidR="00AD32BB" w:rsidRPr="00AD32BB">
        <w:rPr>
          <w:rFonts w:ascii="Verdana" w:eastAsia="Verdana" w:hAnsi="Verdana" w:cs="Verdana"/>
          <w:color w:val="000000"/>
        </w:rPr>
        <w:t>Son aquellos componentes gaseosos de la atmósfera, de origen natural o antropogénico, que absorben y emiten la energía solar reflejada por la superficie de la tierra, la atmósfera y las nubes. Los principales gases de efecto invernadero son el dióxido de carbono (C</w:t>
      </w:r>
      <w:r w:rsidR="00AE1609">
        <w:rPr>
          <w:rFonts w:ascii="Verdana" w:eastAsia="Verdana" w:hAnsi="Verdana" w:cs="Verdana"/>
          <w:color w:val="000000"/>
        </w:rPr>
        <w:t>O</w:t>
      </w:r>
      <w:r w:rsidR="00AD32BB" w:rsidRPr="00AE1609">
        <w:rPr>
          <w:rFonts w:ascii="Verdana" w:eastAsia="Verdana" w:hAnsi="Verdana" w:cs="Verdana"/>
          <w:color w:val="000000"/>
          <w:vertAlign w:val="subscript"/>
        </w:rPr>
        <w:t>2</w:t>
      </w:r>
      <w:r w:rsidR="00AD32BB" w:rsidRPr="00AD32BB">
        <w:rPr>
          <w:rFonts w:ascii="Verdana" w:eastAsia="Verdana" w:hAnsi="Verdana" w:cs="Verdana"/>
          <w:color w:val="000000"/>
        </w:rPr>
        <w:t>), el óxido nitroso (N</w:t>
      </w:r>
      <w:r w:rsidR="00AD32BB" w:rsidRPr="00AE1609">
        <w:rPr>
          <w:rFonts w:ascii="Verdana" w:eastAsia="Verdana" w:hAnsi="Verdana" w:cs="Verdana"/>
          <w:color w:val="000000"/>
          <w:vertAlign w:val="subscript"/>
        </w:rPr>
        <w:t>2</w:t>
      </w:r>
      <w:r w:rsidR="00AE1609">
        <w:rPr>
          <w:rFonts w:ascii="Verdana" w:eastAsia="Verdana" w:hAnsi="Verdana" w:cs="Verdana"/>
          <w:color w:val="000000"/>
        </w:rPr>
        <w:t>O</w:t>
      </w:r>
      <w:r w:rsidR="00AD32BB" w:rsidRPr="00AD32BB">
        <w:rPr>
          <w:rFonts w:ascii="Verdana" w:eastAsia="Verdana" w:hAnsi="Verdana" w:cs="Verdana"/>
          <w:color w:val="000000"/>
        </w:rPr>
        <w:t>), el metano (CH</w:t>
      </w:r>
      <w:r w:rsidR="00AD32BB" w:rsidRPr="00AE1609">
        <w:rPr>
          <w:rFonts w:ascii="Verdana" w:eastAsia="Verdana" w:hAnsi="Verdana" w:cs="Verdana"/>
          <w:color w:val="000000"/>
          <w:vertAlign w:val="subscript"/>
        </w:rPr>
        <w:t>4</w:t>
      </w:r>
      <w:r w:rsidR="00AD32BB" w:rsidRPr="00AD32BB">
        <w:rPr>
          <w:rFonts w:ascii="Verdana" w:eastAsia="Verdana" w:hAnsi="Verdana" w:cs="Verdana"/>
          <w:color w:val="000000"/>
        </w:rPr>
        <w:t>) los hidrofluorocarbonos (HFC), los perfluorocarbonos (PFC) y el Hexafluoruro de Azufre (SF</w:t>
      </w:r>
      <w:r w:rsidR="00AD32BB" w:rsidRPr="00AE1609">
        <w:rPr>
          <w:rFonts w:ascii="Verdana" w:eastAsia="Verdana" w:hAnsi="Verdana" w:cs="Verdana"/>
          <w:color w:val="000000"/>
          <w:vertAlign w:val="subscript"/>
        </w:rPr>
        <w:t>6</w:t>
      </w:r>
      <w:r w:rsidR="00AD32BB" w:rsidRPr="00AD32BB">
        <w:rPr>
          <w:rFonts w:ascii="Verdana" w:eastAsia="Verdana" w:hAnsi="Verdana" w:cs="Verdana"/>
          <w:color w:val="000000"/>
        </w:rPr>
        <w:t>).</w:t>
      </w:r>
      <w:r w:rsidR="00AD32BB">
        <w:rPr>
          <w:rFonts w:ascii="Verdana" w:eastAsia="Verdana" w:hAnsi="Verdana" w:cs="Verdana"/>
          <w:color w:val="000000"/>
        </w:rPr>
        <w:t xml:space="preserve"> </w:t>
      </w:r>
      <w:r>
        <w:rPr>
          <w:rFonts w:ascii="Verdana" w:eastAsia="Verdana" w:hAnsi="Verdana" w:cs="Verdana"/>
          <w:color w:val="000000"/>
        </w:rPr>
        <w:t xml:space="preserve"> </w:t>
      </w:r>
    </w:p>
    <w:p w14:paraId="3445CF4B" w14:textId="48CBCB2C"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Inventario Organizacional de Emisiones de GEI:</w:t>
      </w:r>
      <w:r>
        <w:rPr>
          <w:rFonts w:ascii="Verdana" w:eastAsia="Verdana" w:hAnsi="Verdana" w:cs="Verdana"/>
          <w:color w:val="000000"/>
        </w:rPr>
        <w:t xml:space="preserve">  Lista de fuentes y sumideros de GEI, y sus emisiones y remociones de GEI cuantificadas.</w:t>
      </w:r>
    </w:p>
    <w:p w14:paraId="3445CF4D" w14:textId="73E9707F" w:rsidR="000A3508" w:rsidRPr="00E70E3C" w:rsidRDefault="00880DC3" w:rsidP="004D3D25">
      <w:pPr>
        <w:numPr>
          <w:ilvl w:val="0"/>
          <w:numId w:val="7"/>
        </w:numPr>
        <w:pBdr>
          <w:top w:val="nil"/>
          <w:left w:val="nil"/>
          <w:bottom w:val="nil"/>
          <w:right w:val="nil"/>
          <w:between w:val="nil"/>
        </w:pBdr>
        <w:shd w:val="clear" w:color="auto" w:fill="FFFFFF"/>
        <w:spacing w:after="0"/>
        <w:jc w:val="both"/>
        <w:rPr>
          <w:rFonts w:ascii="Verdana" w:eastAsia="Verdana" w:hAnsi="Verdana" w:cs="Verdana"/>
          <w:color w:val="000000"/>
        </w:rPr>
      </w:pPr>
      <w:r>
        <w:rPr>
          <w:rFonts w:ascii="Verdana" w:eastAsia="Verdana" w:hAnsi="Verdana" w:cs="Verdana"/>
          <w:b/>
          <w:bCs/>
          <w:color w:val="000000"/>
        </w:rPr>
        <w:t>Límite del inventario:</w:t>
      </w:r>
      <w:r>
        <w:rPr>
          <w:rFonts w:ascii="Verdana" w:eastAsia="Verdana" w:hAnsi="Verdana" w:cs="Verdana"/>
          <w:color w:val="000000"/>
        </w:rPr>
        <w:t xml:space="preserve"> Línea imaginaria que limita las emisiones directas e indirectas incluidas en el inventario, resultante del análisis y la aplicación de los límites organizacionales y operacionales de una organización.</w:t>
      </w:r>
    </w:p>
    <w:p w14:paraId="3445CF4F" w14:textId="3DA67658" w:rsidR="000A3508" w:rsidRPr="00E70E3C" w:rsidRDefault="00880DC3" w:rsidP="004D3D25">
      <w:pPr>
        <w:numPr>
          <w:ilvl w:val="0"/>
          <w:numId w:val="7"/>
        </w:numPr>
        <w:pBdr>
          <w:top w:val="nil"/>
          <w:left w:val="nil"/>
          <w:bottom w:val="nil"/>
          <w:right w:val="nil"/>
          <w:between w:val="nil"/>
        </w:pBdr>
        <w:shd w:val="clear" w:color="auto" w:fill="FFFFFF"/>
        <w:spacing w:after="0" w:line="240" w:lineRule="auto"/>
        <w:jc w:val="both"/>
        <w:rPr>
          <w:rFonts w:ascii="Verdana" w:eastAsia="Verdana" w:hAnsi="Verdana" w:cs="Verdana"/>
          <w:color w:val="000000"/>
        </w:rPr>
      </w:pPr>
      <w:r>
        <w:rPr>
          <w:rFonts w:ascii="Verdana" w:eastAsia="Verdana" w:hAnsi="Verdana" w:cs="Verdana"/>
          <w:b/>
          <w:bCs/>
          <w:color w:val="000000"/>
        </w:rPr>
        <w:t>Límite operacional:</w:t>
      </w:r>
      <w:r>
        <w:rPr>
          <w:rFonts w:ascii="Verdana" w:eastAsia="Verdana" w:hAnsi="Verdana" w:cs="Verdana"/>
          <w:color w:val="000000"/>
        </w:rPr>
        <w:t xml:space="preserve"> Límite que determina las emisiones directas e indirectas asociadas a operaciones que son propiedad o están bajo control de la organización que reporta sus emisiones y</w:t>
      </w:r>
      <w:r w:rsidR="00700A35">
        <w:rPr>
          <w:rFonts w:ascii="Verdana" w:eastAsia="Verdana" w:hAnsi="Verdana" w:cs="Verdana"/>
          <w:color w:val="000000"/>
        </w:rPr>
        <w:t>/</w:t>
      </w:r>
      <w:r w:rsidR="00147A83">
        <w:rPr>
          <w:rFonts w:ascii="Verdana" w:eastAsia="Verdana" w:hAnsi="Verdana" w:cs="Verdana"/>
          <w:color w:val="000000"/>
        </w:rPr>
        <w:t>o</w:t>
      </w:r>
      <w:r>
        <w:rPr>
          <w:rFonts w:ascii="Verdana" w:eastAsia="Verdana" w:hAnsi="Verdana" w:cs="Verdana"/>
          <w:color w:val="000000"/>
        </w:rPr>
        <w:t xml:space="preserve"> remociones de GEI.</w:t>
      </w:r>
    </w:p>
    <w:p w14:paraId="3445CF51" w14:textId="72E862A0" w:rsidR="000A3508" w:rsidRPr="00E70E3C" w:rsidRDefault="00880DC3" w:rsidP="004D3D25">
      <w:pPr>
        <w:numPr>
          <w:ilvl w:val="0"/>
          <w:numId w:val="7"/>
        </w:numPr>
        <w:pBdr>
          <w:top w:val="nil"/>
          <w:left w:val="nil"/>
          <w:bottom w:val="nil"/>
          <w:right w:val="nil"/>
          <w:between w:val="nil"/>
        </w:pBdr>
        <w:shd w:val="clear" w:color="auto" w:fill="FFFFFF"/>
        <w:spacing w:after="0" w:line="240" w:lineRule="auto"/>
        <w:ind w:left="426" w:hanging="426"/>
        <w:jc w:val="both"/>
        <w:rPr>
          <w:rFonts w:ascii="Verdana" w:eastAsia="Verdana" w:hAnsi="Verdana" w:cs="Verdana"/>
          <w:color w:val="000000"/>
        </w:rPr>
      </w:pPr>
      <w:r>
        <w:rPr>
          <w:rFonts w:ascii="Verdana" w:eastAsia="Verdana" w:hAnsi="Verdana" w:cs="Verdana"/>
          <w:b/>
          <w:bCs/>
          <w:color w:val="000000"/>
        </w:rPr>
        <w:t xml:space="preserve">Límite organizacional: </w:t>
      </w:r>
      <w:r>
        <w:rPr>
          <w:rFonts w:ascii="Verdana" w:eastAsia="Verdana" w:hAnsi="Verdana" w:cs="Verdana"/>
          <w:color w:val="000000"/>
        </w:rPr>
        <w:t>Límite conceptual que determina las operaciones que son propiedad o están bajo control de la organización que reporta sus emisiones y</w:t>
      </w:r>
      <w:r w:rsidR="00147A83">
        <w:rPr>
          <w:rFonts w:ascii="Verdana" w:eastAsia="Verdana" w:hAnsi="Verdana" w:cs="Verdana"/>
          <w:color w:val="000000"/>
        </w:rPr>
        <w:t>/o</w:t>
      </w:r>
      <w:r>
        <w:rPr>
          <w:rFonts w:ascii="Verdana" w:eastAsia="Verdana" w:hAnsi="Verdana" w:cs="Verdana"/>
          <w:color w:val="000000"/>
        </w:rPr>
        <w:t xml:space="preserve"> remociones de GEI, según la estructura organizacional y las actividades desarrolladas por estas.</w:t>
      </w:r>
    </w:p>
    <w:p w14:paraId="3445CF53" w14:textId="2A0A5EE5"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 xml:space="preserve">Organización: </w:t>
      </w:r>
      <w:r w:rsidR="00114FAF">
        <w:rPr>
          <w:rFonts w:ascii="Verdana" w:eastAsia="Verdana" w:hAnsi="Verdana" w:cs="Verdana"/>
          <w:color w:val="000000"/>
        </w:rPr>
        <w:t>Persona jurídica</w:t>
      </w:r>
      <w:r>
        <w:rPr>
          <w:rFonts w:ascii="Verdana" w:eastAsia="Verdana" w:hAnsi="Verdana" w:cs="Verdana"/>
          <w:color w:val="000000"/>
        </w:rPr>
        <w:t xml:space="preserve"> pública, privada o mixta, que tiene sus propias funciones con responsabilidades, autoridades, administración y relaciones para alcanzar su objeto social y cuenta con un Numero de Identificación Tributaria (NIT).</w:t>
      </w:r>
    </w:p>
    <w:p w14:paraId="3445CF55" w14:textId="271A8365"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Otras emisiones indirectas de GEI:</w:t>
      </w:r>
      <w:r>
        <w:rPr>
          <w:rFonts w:ascii="Verdana" w:eastAsia="Verdana" w:hAnsi="Verdana" w:cs="Verdana"/>
          <w:color w:val="000000"/>
        </w:rPr>
        <w:t xml:space="preserve"> Corresponden a las emisiones de GEI que se generan como resultado de las actividades de la organización, pero que ocurren en instalaciones o procesos fuera de su control operativo, o en fuentes que no son de propiedad de la organización que reporta. Por lo cual, se clasifican como emisiones indirectas.  Se entenderán como otras emisiones indirectas, las emisiones de alcance 3 según el</w:t>
      </w:r>
      <w:r w:rsidR="00B84A48">
        <w:rPr>
          <w:rFonts w:ascii="Verdana" w:eastAsia="Verdana" w:hAnsi="Verdana" w:cs="Verdana"/>
          <w:color w:val="000000"/>
        </w:rPr>
        <w:t xml:space="preserve"> </w:t>
      </w:r>
      <w:r w:rsidR="00B84A48" w:rsidRPr="004D3D25">
        <w:rPr>
          <w:rFonts w:ascii="Verdana" w:eastAsia="Verdana" w:hAnsi="Verdana" w:cs="Verdana"/>
          <w:i/>
          <w:iCs/>
          <w:color w:val="000000"/>
        </w:rPr>
        <w:t xml:space="preserve">“Estándar Corporativo de Contabilidad y Reporte del GHG </w:t>
      </w:r>
      <w:proofErr w:type="spellStart"/>
      <w:r w:rsidR="00B84A48" w:rsidRPr="004D3D25">
        <w:rPr>
          <w:rFonts w:ascii="Verdana" w:eastAsia="Verdana" w:hAnsi="Verdana" w:cs="Verdana"/>
          <w:i/>
          <w:iCs/>
          <w:color w:val="000000"/>
        </w:rPr>
        <w:t>Protocol</w:t>
      </w:r>
      <w:proofErr w:type="spellEnd"/>
      <w:r w:rsidR="00B84A48" w:rsidRPr="004D3D25">
        <w:rPr>
          <w:rFonts w:ascii="Verdana" w:eastAsia="Verdana" w:hAnsi="Verdana" w:cs="Verdana"/>
          <w:i/>
          <w:iCs/>
          <w:color w:val="000000"/>
        </w:rPr>
        <w:t>”</w:t>
      </w:r>
      <w:r w:rsidR="00CC7620">
        <w:rPr>
          <w:rFonts w:ascii="Verdana" w:eastAsia="Verdana" w:hAnsi="Verdana" w:cs="Verdana"/>
          <w:color w:val="000000"/>
        </w:rPr>
        <w:t xml:space="preserve"> </w:t>
      </w:r>
      <w:r>
        <w:rPr>
          <w:rFonts w:ascii="Verdana" w:eastAsia="Verdana" w:hAnsi="Verdana" w:cs="Verdana"/>
          <w:color w:val="000000"/>
        </w:rPr>
        <w:t>o las emisiones indirectas por transporte, productos utilizados por la organización, uso de productos de la organización o por otras fuentes según la NTC ISO 14064-1:2020, o aquella que la modifique o sustituya.</w:t>
      </w:r>
    </w:p>
    <w:p w14:paraId="3445CF57" w14:textId="1820B6F9" w:rsidR="000A3508" w:rsidRPr="00E70E3C"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lastRenderedPageBreak/>
        <w:t>Periodo de reporte de las emisiones de GEI:</w:t>
      </w:r>
      <w:r>
        <w:rPr>
          <w:rFonts w:ascii="Verdana" w:eastAsia="Verdana" w:hAnsi="Verdana" w:cs="Verdana"/>
          <w:color w:val="000000"/>
        </w:rPr>
        <w:t xml:space="preserve"> Es el plazo comprendido entre el 1 de enero y el 31 de diciembre del año en el que se generan las emisiones a ser cuantificadas y reportadas en la Plataforma ROE.</w:t>
      </w:r>
    </w:p>
    <w:p w14:paraId="3445CF5D" w14:textId="5A47B061" w:rsidR="000A3508" w:rsidRDefault="00880DC3" w:rsidP="004D3D25">
      <w:pPr>
        <w:numPr>
          <w:ilvl w:val="0"/>
          <w:numId w:val="7"/>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Potencial de calentamiento global (PCG):</w:t>
      </w:r>
      <w:r>
        <w:rPr>
          <w:rFonts w:ascii="Verdana" w:eastAsia="Verdana" w:hAnsi="Verdana" w:cs="Verdana"/>
          <w:color w:val="000000"/>
        </w:rPr>
        <w:t xml:space="preserve"> Factor que describe el forzamiento </w:t>
      </w:r>
      <w:proofErr w:type="spellStart"/>
      <w:r>
        <w:rPr>
          <w:rFonts w:ascii="Verdana" w:eastAsia="Verdana" w:hAnsi="Verdana" w:cs="Verdana"/>
          <w:color w:val="000000"/>
        </w:rPr>
        <w:t>radiativo</w:t>
      </w:r>
      <w:proofErr w:type="spellEnd"/>
      <w:r>
        <w:rPr>
          <w:rFonts w:ascii="Verdana" w:eastAsia="Verdana" w:hAnsi="Verdana" w:cs="Verdana"/>
          <w:color w:val="000000"/>
        </w:rPr>
        <w:t xml:space="preserve"> relativo de 1 kg de GEI emitido a la </w:t>
      </w:r>
      <w:sdt>
        <w:sdtPr>
          <w:tag w:val="goog_rdk_52"/>
          <w:id w:val="211922766"/>
        </w:sdtPr>
        <w:sdtContent>
          <w:sdt>
            <w:sdtPr>
              <w:tag w:val="goog_rdk_53"/>
              <w:id w:val="-1065538204"/>
            </w:sdtPr>
            <w:sdtContent>
              <w:r w:rsidRPr="004D3D25">
                <w:rPr>
                  <w:rFonts w:ascii="Verdana" w:eastAsia="Verdana" w:hAnsi="Verdana" w:cs="Verdana"/>
                </w:rPr>
                <w:t>atmósfera</w:t>
              </w:r>
            </w:sdtContent>
          </w:sdt>
        </w:sdtContent>
      </w:sdt>
      <w:sdt>
        <w:sdtPr>
          <w:tag w:val="goog_rdk_54"/>
          <w:id w:val="477587347"/>
        </w:sdtPr>
        <w:sdtContent>
          <w:sdt>
            <w:sdtPr>
              <w:tag w:val="goog_rdk_55"/>
              <w:id w:val="2090871241"/>
              <w:showingPlcHdr/>
            </w:sdtPr>
            <w:sdtContent>
              <w:r w:rsidR="00A642AE">
                <w:t xml:space="preserve">     </w:t>
              </w:r>
            </w:sdtContent>
          </w:sdt>
        </w:sdtContent>
      </w:sdt>
      <w:r>
        <w:rPr>
          <w:rFonts w:ascii="Verdana" w:eastAsia="Verdana" w:hAnsi="Verdana" w:cs="Verdana"/>
          <w:color w:val="000000"/>
        </w:rPr>
        <w:t xml:space="preserve"> durante un periodo de tiempo de 100 años en comparación al forzamiento </w:t>
      </w:r>
      <w:proofErr w:type="spellStart"/>
      <w:r>
        <w:rPr>
          <w:rFonts w:ascii="Verdana" w:eastAsia="Verdana" w:hAnsi="Verdana" w:cs="Verdana"/>
          <w:color w:val="000000"/>
        </w:rPr>
        <w:t>radiativo</w:t>
      </w:r>
      <w:proofErr w:type="spellEnd"/>
      <w:r>
        <w:rPr>
          <w:rFonts w:ascii="Verdana" w:eastAsia="Verdana" w:hAnsi="Verdana" w:cs="Verdana"/>
          <w:color w:val="000000"/>
        </w:rPr>
        <w:t xml:space="preserve"> de 1 kg de CO</w:t>
      </w:r>
      <w:r>
        <w:rPr>
          <w:rFonts w:ascii="Verdana" w:eastAsia="Verdana" w:hAnsi="Verdana" w:cs="Verdana"/>
          <w:color w:val="000000"/>
          <w:vertAlign w:val="subscript"/>
        </w:rPr>
        <w:t>2</w:t>
      </w:r>
      <w:r>
        <w:rPr>
          <w:rFonts w:ascii="Verdana" w:eastAsia="Verdana" w:hAnsi="Verdana" w:cs="Verdana"/>
          <w:color w:val="000000"/>
        </w:rPr>
        <w:t xml:space="preserve"> durante el mismo periodo</w:t>
      </w:r>
    </w:p>
    <w:p w14:paraId="3445CF5E" w14:textId="0607AFC7" w:rsidR="000A3508" w:rsidRDefault="00880DC3">
      <w:pPr>
        <w:numPr>
          <w:ilvl w:val="0"/>
          <w:numId w:val="7"/>
        </w:numPr>
        <w:pBdr>
          <w:top w:val="nil"/>
          <w:left w:val="nil"/>
          <w:bottom w:val="nil"/>
          <w:right w:val="nil"/>
          <w:between w:val="nil"/>
        </w:pBdr>
        <w:shd w:val="clear" w:color="auto" w:fill="FFFFFF"/>
        <w:spacing w:after="0"/>
        <w:jc w:val="both"/>
        <w:rPr>
          <w:rFonts w:ascii="Verdana" w:eastAsia="Verdana" w:hAnsi="Verdana" w:cs="Verdana"/>
          <w:color w:val="000000"/>
        </w:rPr>
      </w:pPr>
      <w:r>
        <w:rPr>
          <w:rFonts w:ascii="Verdana" w:eastAsia="Verdana" w:hAnsi="Verdana" w:cs="Verdana"/>
          <w:b/>
          <w:bCs/>
          <w:color w:val="000000"/>
        </w:rPr>
        <w:t>Unidad de negocio:</w:t>
      </w:r>
      <w:r>
        <w:rPr>
          <w:rFonts w:ascii="Verdana" w:eastAsia="Verdana" w:hAnsi="Verdana" w:cs="Verdana"/>
          <w:color w:val="000000"/>
        </w:rPr>
        <w:t xml:space="preserve"> Es aquella actividad económica que realiza una organización baj</w:t>
      </w:r>
      <w:r w:rsidR="00C313B1">
        <w:rPr>
          <w:rFonts w:ascii="Verdana" w:eastAsia="Verdana" w:hAnsi="Verdana" w:cs="Verdana"/>
          <w:color w:val="000000"/>
        </w:rPr>
        <w:t>o</w:t>
      </w:r>
      <w:r w:rsidR="00004D1C">
        <w:rPr>
          <w:rFonts w:ascii="Verdana" w:eastAsia="Verdana" w:hAnsi="Verdana" w:cs="Verdana"/>
          <w:color w:val="000000"/>
        </w:rPr>
        <w:t xml:space="preserve"> </w:t>
      </w:r>
      <w:r w:rsidR="00680564">
        <w:rPr>
          <w:rFonts w:ascii="Verdana" w:eastAsia="Verdana" w:hAnsi="Verdana" w:cs="Verdana"/>
          <w:color w:val="000000"/>
        </w:rPr>
        <w:t>un</w:t>
      </w:r>
      <w:r>
        <w:rPr>
          <w:rFonts w:ascii="Verdana" w:eastAsia="Verdana" w:hAnsi="Verdana" w:cs="Verdana"/>
          <w:color w:val="000000"/>
        </w:rPr>
        <w:t xml:space="preserve"> mismo </w:t>
      </w:r>
      <w:r w:rsidR="00680564">
        <w:rPr>
          <w:rFonts w:ascii="Verdana" w:eastAsia="Verdana" w:hAnsi="Verdana" w:cs="Verdana"/>
          <w:color w:val="000000"/>
        </w:rPr>
        <w:t>N</w:t>
      </w:r>
      <w:r>
        <w:rPr>
          <w:rFonts w:ascii="Verdana" w:eastAsia="Verdana" w:hAnsi="Verdana" w:cs="Verdana"/>
          <w:color w:val="000000"/>
        </w:rPr>
        <w:t xml:space="preserve">úmero de </w:t>
      </w:r>
      <w:r w:rsidR="00680564">
        <w:rPr>
          <w:rFonts w:ascii="Verdana" w:eastAsia="Verdana" w:hAnsi="Verdana" w:cs="Verdana"/>
          <w:color w:val="000000"/>
        </w:rPr>
        <w:t>I</w:t>
      </w:r>
      <w:r>
        <w:rPr>
          <w:rFonts w:ascii="Verdana" w:eastAsia="Verdana" w:hAnsi="Verdana" w:cs="Verdana"/>
          <w:color w:val="000000"/>
        </w:rPr>
        <w:t xml:space="preserve">dentificación </w:t>
      </w:r>
      <w:r w:rsidR="00680564">
        <w:rPr>
          <w:rFonts w:ascii="Verdana" w:eastAsia="Verdana" w:hAnsi="Verdana" w:cs="Verdana"/>
          <w:color w:val="000000"/>
        </w:rPr>
        <w:t>T</w:t>
      </w:r>
      <w:r>
        <w:rPr>
          <w:rFonts w:ascii="Verdana" w:eastAsia="Verdana" w:hAnsi="Verdana" w:cs="Verdana"/>
          <w:color w:val="000000"/>
        </w:rPr>
        <w:t>ributaria NIT</w:t>
      </w:r>
      <w:r w:rsidR="00852EC7">
        <w:rPr>
          <w:rFonts w:ascii="Verdana" w:eastAsia="Verdana" w:hAnsi="Verdana" w:cs="Verdana"/>
          <w:color w:val="000000"/>
        </w:rPr>
        <w:t>.</w:t>
      </w:r>
    </w:p>
    <w:p w14:paraId="274A631B" w14:textId="77777777" w:rsidR="00247565" w:rsidRDefault="00247565" w:rsidP="00247565">
      <w:pPr>
        <w:pBdr>
          <w:top w:val="nil"/>
          <w:left w:val="nil"/>
          <w:bottom w:val="nil"/>
          <w:right w:val="nil"/>
          <w:between w:val="nil"/>
        </w:pBdr>
        <w:spacing w:after="0"/>
        <w:jc w:val="both"/>
        <w:rPr>
          <w:rFonts w:ascii="Verdana" w:eastAsia="Verdana" w:hAnsi="Verdana" w:cs="Verdana"/>
          <w:color w:val="000000"/>
        </w:rPr>
      </w:pPr>
    </w:p>
    <w:p w14:paraId="3445CF62" w14:textId="1F9DA8C6" w:rsidR="000A3508" w:rsidRDefault="00247565">
      <w:pPr>
        <w:pBdr>
          <w:top w:val="nil"/>
          <w:left w:val="nil"/>
          <w:bottom w:val="nil"/>
          <w:right w:val="nil"/>
          <w:between w:val="nil"/>
        </w:pBdr>
        <w:spacing w:after="0"/>
        <w:jc w:val="both"/>
        <w:rPr>
          <w:rFonts w:ascii="Verdana" w:eastAsia="Verdana" w:hAnsi="Verdana" w:cs="Verdana"/>
          <w:color w:val="000000"/>
        </w:rPr>
      </w:pPr>
      <w:r w:rsidRPr="00247565">
        <w:rPr>
          <w:rFonts w:ascii="Verdana" w:eastAsia="Verdana" w:hAnsi="Verdana" w:cs="Verdana"/>
          <w:b/>
          <w:bCs/>
          <w:color w:val="000000"/>
        </w:rPr>
        <w:t>Artículo 4. Principios para la cuantificación y el reporte de las emisiones bajo el ROE.</w:t>
      </w:r>
      <w:r>
        <w:t xml:space="preserve"> </w:t>
      </w:r>
      <w:r w:rsidR="00880DC3">
        <w:rPr>
          <w:rFonts w:ascii="Verdana" w:eastAsia="Verdana" w:hAnsi="Verdana" w:cs="Verdana"/>
          <w:color w:val="000000"/>
        </w:rPr>
        <w:t xml:space="preserve">Los principios para la contabilidad y </w:t>
      </w:r>
      <w:r>
        <w:rPr>
          <w:rFonts w:ascii="Verdana" w:eastAsia="Verdana" w:hAnsi="Verdana" w:cs="Verdana"/>
          <w:color w:val="000000"/>
        </w:rPr>
        <w:t xml:space="preserve">el </w:t>
      </w:r>
      <w:r w:rsidR="00880DC3">
        <w:rPr>
          <w:rFonts w:ascii="Verdana" w:eastAsia="Verdana" w:hAnsi="Verdana" w:cs="Verdana"/>
          <w:color w:val="000000"/>
        </w:rPr>
        <w:t xml:space="preserve">reporte de las emisiones de </w:t>
      </w:r>
      <w:r w:rsidR="00892D88">
        <w:rPr>
          <w:rFonts w:ascii="Verdana" w:eastAsia="Verdana" w:hAnsi="Verdana" w:cs="Verdana"/>
          <w:color w:val="000000"/>
        </w:rPr>
        <w:t>Gases de Efecto Invernadero (</w:t>
      </w:r>
      <w:r w:rsidR="00880DC3">
        <w:rPr>
          <w:rFonts w:ascii="Verdana" w:eastAsia="Verdana" w:hAnsi="Verdana" w:cs="Verdana"/>
          <w:color w:val="000000"/>
        </w:rPr>
        <w:t>GEI</w:t>
      </w:r>
      <w:r w:rsidR="00892D88">
        <w:rPr>
          <w:rFonts w:ascii="Verdana" w:eastAsia="Verdana" w:hAnsi="Verdana" w:cs="Verdana"/>
          <w:color w:val="000000"/>
        </w:rPr>
        <w:t>) son de</w:t>
      </w:r>
      <w:r w:rsidR="00892D88" w:rsidRPr="00892D88">
        <w:t xml:space="preserve"> </w:t>
      </w:r>
      <w:r w:rsidR="00892D88" w:rsidRPr="00892D88">
        <w:rPr>
          <w:rFonts w:ascii="Verdana" w:eastAsia="Verdana" w:hAnsi="Verdana" w:cs="Verdana"/>
          <w:color w:val="000000"/>
        </w:rPr>
        <w:t>obligatorio cumplimiento y regirán</w:t>
      </w:r>
      <w:r w:rsidR="00892D88">
        <w:rPr>
          <w:rFonts w:ascii="Verdana" w:eastAsia="Verdana" w:hAnsi="Verdana" w:cs="Verdana"/>
          <w:color w:val="000000"/>
        </w:rPr>
        <w:t xml:space="preserve"> los procesos de </w:t>
      </w:r>
      <w:r w:rsidR="00880DC3">
        <w:rPr>
          <w:rFonts w:ascii="Verdana" w:eastAsia="Verdana" w:hAnsi="Verdana" w:cs="Verdana"/>
          <w:color w:val="000000"/>
        </w:rPr>
        <w:t xml:space="preserve">cuantificación, reporte y verificación de las emisiones directas e indirectas de GEI, </w:t>
      </w:r>
      <w:r w:rsidR="00892D88">
        <w:rPr>
          <w:rFonts w:ascii="Verdana" w:eastAsia="Verdana" w:hAnsi="Verdana" w:cs="Verdana"/>
          <w:color w:val="000000"/>
        </w:rPr>
        <w:t>en el marco de la elaboración y presentación</w:t>
      </w:r>
      <w:r w:rsidR="00880DC3">
        <w:rPr>
          <w:rFonts w:ascii="Verdana" w:eastAsia="Verdana" w:hAnsi="Verdana" w:cs="Verdana"/>
          <w:color w:val="000000"/>
        </w:rPr>
        <w:t xml:space="preserve"> del Reporte Obligatorio de Emisiones </w:t>
      </w:r>
      <w:r w:rsidR="00892D88">
        <w:rPr>
          <w:rFonts w:ascii="Verdana" w:eastAsia="Verdana" w:hAnsi="Verdana" w:cs="Verdana"/>
          <w:color w:val="000000"/>
        </w:rPr>
        <w:t>(</w:t>
      </w:r>
      <w:r w:rsidR="00880DC3">
        <w:rPr>
          <w:rFonts w:ascii="Verdana" w:eastAsia="Verdana" w:hAnsi="Verdana" w:cs="Verdana"/>
          <w:color w:val="000000"/>
        </w:rPr>
        <w:t>ROE</w:t>
      </w:r>
      <w:r w:rsidR="00892D88">
        <w:rPr>
          <w:rFonts w:ascii="Verdana" w:eastAsia="Verdana" w:hAnsi="Verdana" w:cs="Verdana"/>
          <w:color w:val="000000"/>
        </w:rPr>
        <w:t>)</w:t>
      </w:r>
      <w:r w:rsidR="004F7EF5">
        <w:rPr>
          <w:rFonts w:ascii="Verdana" w:eastAsia="Verdana" w:hAnsi="Verdana" w:cs="Verdana"/>
          <w:color w:val="000000"/>
        </w:rPr>
        <w:t xml:space="preserve">, </w:t>
      </w:r>
      <w:r w:rsidR="004F7EF5" w:rsidRPr="004F7EF5">
        <w:rPr>
          <w:rFonts w:ascii="Verdana" w:eastAsia="Verdana" w:hAnsi="Verdana" w:cs="Verdana"/>
          <w:color w:val="000000"/>
        </w:rPr>
        <w:t>con el fin de garantizar la consistencia y calidad de la información reportada</w:t>
      </w:r>
      <w:r w:rsidR="00880DC3">
        <w:rPr>
          <w:rFonts w:ascii="Verdana" w:eastAsia="Verdana" w:hAnsi="Verdana" w:cs="Verdana"/>
          <w:color w:val="000000"/>
        </w:rPr>
        <w:t>.</w:t>
      </w:r>
    </w:p>
    <w:p w14:paraId="3445CF63"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65" w14:textId="64483A79" w:rsidR="000A3508" w:rsidRDefault="004F7EF5">
      <w:pPr>
        <w:pBdr>
          <w:top w:val="nil"/>
          <w:left w:val="nil"/>
          <w:bottom w:val="nil"/>
          <w:right w:val="nil"/>
          <w:between w:val="nil"/>
        </w:pBdr>
        <w:spacing w:after="0"/>
        <w:jc w:val="both"/>
        <w:rPr>
          <w:rFonts w:ascii="Verdana" w:eastAsia="Verdana" w:hAnsi="Verdana" w:cs="Verdana"/>
          <w:color w:val="000000"/>
        </w:rPr>
      </w:pPr>
      <w:r w:rsidRPr="004F7EF5">
        <w:rPr>
          <w:rFonts w:ascii="Verdana" w:eastAsia="Verdana" w:hAnsi="Verdana" w:cs="Verdana"/>
          <w:color w:val="000000"/>
        </w:rPr>
        <w:t>Las personas jurídicas públicas, privadas o mixtas obligadas deberán dar cumplimiento a los siguientes principios:</w:t>
      </w:r>
      <w:r w:rsidRPr="004F7EF5" w:rsidDel="004F7EF5">
        <w:rPr>
          <w:rFonts w:ascii="Verdana" w:eastAsia="Verdana" w:hAnsi="Verdana" w:cs="Verdana"/>
          <w:color w:val="000000"/>
        </w:rPr>
        <w:t xml:space="preserve"> </w:t>
      </w:r>
    </w:p>
    <w:p w14:paraId="3445CF67"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68" w14:textId="5B4BD9CF"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Integridad.</w:t>
      </w:r>
      <w:r>
        <w:rPr>
          <w:rFonts w:ascii="Verdana" w:eastAsia="Verdana" w:hAnsi="Verdana" w:cs="Verdana"/>
          <w:color w:val="000000"/>
        </w:rPr>
        <w:t xml:space="preserve"> La contabilidad y </w:t>
      </w:r>
      <w:r w:rsidR="00C75960">
        <w:rPr>
          <w:rFonts w:ascii="Verdana" w:eastAsia="Verdana" w:hAnsi="Verdana" w:cs="Verdana"/>
          <w:color w:val="000000"/>
        </w:rPr>
        <w:t xml:space="preserve">el </w:t>
      </w:r>
      <w:sdt>
        <w:sdtPr>
          <w:tag w:val="goog_rdk_65"/>
          <w:id w:val="996805514"/>
        </w:sdtPr>
        <w:sdtContent/>
      </w:sdt>
      <w:r>
        <w:rPr>
          <w:rFonts w:ascii="Verdana" w:eastAsia="Verdana" w:hAnsi="Verdana" w:cs="Verdana"/>
          <w:color w:val="000000"/>
        </w:rPr>
        <w:t>reporte de emisiones de GEI debe</w:t>
      </w:r>
      <w:r w:rsidR="00C75960">
        <w:rPr>
          <w:rFonts w:ascii="Verdana" w:eastAsia="Verdana" w:hAnsi="Verdana" w:cs="Verdana"/>
          <w:color w:val="000000"/>
        </w:rPr>
        <w:t>rá</w:t>
      </w:r>
      <w:r>
        <w:rPr>
          <w:rFonts w:ascii="Verdana" w:eastAsia="Verdana" w:hAnsi="Verdana" w:cs="Verdana"/>
          <w:color w:val="000000"/>
        </w:rPr>
        <w:t xml:space="preserve"> abarcar la totalidad de las fuentes de emisión y actividades incluidas dentro de los límites definidos </w:t>
      </w:r>
      <w:r w:rsidR="00C75960">
        <w:rPr>
          <w:rFonts w:ascii="Verdana" w:eastAsia="Verdana" w:hAnsi="Verdana" w:cs="Verdana"/>
          <w:color w:val="000000"/>
        </w:rPr>
        <w:t xml:space="preserve">para </w:t>
      </w:r>
      <w:r>
        <w:rPr>
          <w:rFonts w:ascii="Verdana" w:eastAsia="Verdana" w:hAnsi="Verdana" w:cs="Verdana"/>
          <w:color w:val="000000"/>
        </w:rPr>
        <w:t xml:space="preserve">el inventario. </w:t>
      </w:r>
      <w:r w:rsidR="00C75960">
        <w:rPr>
          <w:rFonts w:ascii="Verdana" w:eastAsia="Verdana" w:hAnsi="Verdana" w:cs="Verdana"/>
          <w:color w:val="000000"/>
        </w:rPr>
        <w:t>C</w:t>
      </w:r>
      <w:r>
        <w:rPr>
          <w:rFonts w:ascii="Verdana" w:eastAsia="Verdana" w:hAnsi="Verdana" w:cs="Verdana"/>
          <w:color w:val="000000"/>
        </w:rPr>
        <w:t>ualquier exclusión o excepción deberá estar debidamente identificad</w:t>
      </w:r>
      <w:r w:rsidR="00C75960">
        <w:rPr>
          <w:rFonts w:ascii="Verdana" w:eastAsia="Verdana" w:hAnsi="Verdana" w:cs="Verdana"/>
          <w:color w:val="000000"/>
        </w:rPr>
        <w:t>a</w:t>
      </w:r>
      <w:r>
        <w:rPr>
          <w:rFonts w:ascii="Verdana" w:eastAsia="Verdana" w:hAnsi="Verdana" w:cs="Verdana"/>
          <w:color w:val="000000"/>
        </w:rPr>
        <w:t>, documentad</w:t>
      </w:r>
      <w:r w:rsidR="00C75960">
        <w:rPr>
          <w:rFonts w:ascii="Verdana" w:eastAsia="Verdana" w:hAnsi="Verdana" w:cs="Verdana"/>
          <w:color w:val="000000"/>
        </w:rPr>
        <w:t>a</w:t>
      </w:r>
      <w:r>
        <w:rPr>
          <w:rFonts w:ascii="Verdana" w:eastAsia="Verdana" w:hAnsi="Verdana" w:cs="Verdana"/>
          <w:color w:val="000000"/>
        </w:rPr>
        <w:t xml:space="preserve"> y justificad</w:t>
      </w:r>
      <w:r w:rsidR="00C75960">
        <w:rPr>
          <w:rFonts w:ascii="Verdana" w:eastAsia="Verdana" w:hAnsi="Verdana" w:cs="Verdana"/>
          <w:color w:val="000000"/>
        </w:rPr>
        <w:t>a</w:t>
      </w:r>
      <w:r>
        <w:rPr>
          <w:rFonts w:ascii="Verdana" w:eastAsia="Verdana" w:hAnsi="Verdana" w:cs="Verdana"/>
          <w:color w:val="000000"/>
        </w:rPr>
        <w:t>.</w:t>
      </w:r>
    </w:p>
    <w:p w14:paraId="3445CF69"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6A" w14:textId="6DBDDBFF"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Relevancia. </w:t>
      </w:r>
      <w:r>
        <w:rPr>
          <w:rFonts w:ascii="Verdana" w:eastAsia="Verdana" w:hAnsi="Verdana" w:cs="Verdana"/>
          <w:color w:val="000000"/>
        </w:rPr>
        <w:t>La información consignada en el ROE debe</w:t>
      </w:r>
      <w:r w:rsidR="00C75960">
        <w:rPr>
          <w:rFonts w:ascii="Verdana" w:eastAsia="Verdana" w:hAnsi="Verdana" w:cs="Verdana"/>
          <w:color w:val="000000"/>
        </w:rPr>
        <w:t>rá</w:t>
      </w:r>
      <w:r>
        <w:rPr>
          <w:rFonts w:ascii="Verdana" w:eastAsia="Verdana" w:hAnsi="Verdana" w:cs="Verdana"/>
          <w:color w:val="000000"/>
        </w:rPr>
        <w:t xml:space="preserve"> reflejar de manera apropiada, precisa y pertinente las emisiones generadas</w:t>
      </w:r>
      <w:r w:rsidR="00C75960">
        <w:rPr>
          <w:rFonts w:ascii="Verdana" w:eastAsia="Verdana" w:hAnsi="Verdana" w:cs="Verdana"/>
          <w:color w:val="000000"/>
        </w:rPr>
        <w:t>.</w:t>
      </w:r>
      <w:r>
        <w:rPr>
          <w:rFonts w:ascii="Verdana" w:eastAsia="Verdana" w:hAnsi="Verdana" w:cs="Verdana"/>
          <w:color w:val="000000"/>
        </w:rPr>
        <w:t xml:space="preserve">  Para ello, se </w:t>
      </w:r>
      <w:r w:rsidR="00C75960">
        <w:rPr>
          <w:rFonts w:ascii="Verdana" w:eastAsia="Verdana" w:hAnsi="Verdana" w:cs="Verdana"/>
          <w:color w:val="000000"/>
        </w:rPr>
        <w:t xml:space="preserve">deberán incluir </w:t>
      </w:r>
      <w:r>
        <w:rPr>
          <w:rFonts w:ascii="Verdana" w:eastAsia="Verdana" w:hAnsi="Verdana" w:cs="Verdana"/>
          <w:color w:val="000000"/>
        </w:rPr>
        <w:t xml:space="preserve">las fuentes de datos, metodologías y demás información técnica que respalde las decisiones adoptadas en los procesos de cuantificación, reporte y verificación de </w:t>
      </w:r>
      <w:r w:rsidR="001E5B78">
        <w:rPr>
          <w:rFonts w:ascii="Verdana" w:eastAsia="Verdana" w:hAnsi="Verdana" w:cs="Verdana"/>
          <w:color w:val="000000"/>
        </w:rPr>
        <w:t xml:space="preserve">las </w:t>
      </w:r>
      <w:r>
        <w:rPr>
          <w:rFonts w:ascii="Verdana" w:eastAsia="Verdana" w:hAnsi="Verdana" w:cs="Verdana"/>
          <w:color w:val="000000"/>
        </w:rPr>
        <w:t xml:space="preserve">emisiones directas e indirectas de GEI. </w:t>
      </w:r>
    </w:p>
    <w:p w14:paraId="3445CF6B"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6C" w14:textId="4511D01C"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Consistencia.</w:t>
      </w:r>
      <w:r>
        <w:rPr>
          <w:rFonts w:ascii="Verdana" w:eastAsia="Verdana" w:hAnsi="Verdana" w:cs="Verdana"/>
          <w:color w:val="000000"/>
        </w:rPr>
        <w:t xml:space="preserve"> Se deberá garantizar la coherencia en la </w:t>
      </w:r>
      <w:r w:rsidR="00C75960">
        <w:rPr>
          <w:rFonts w:ascii="Verdana" w:eastAsia="Verdana" w:hAnsi="Verdana" w:cs="Verdana"/>
          <w:color w:val="000000"/>
        </w:rPr>
        <w:t>cuantificación</w:t>
      </w:r>
      <w:r>
        <w:rPr>
          <w:rFonts w:ascii="Verdana" w:eastAsia="Verdana" w:hAnsi="Verdana" w:cs="Verdana"/>
          <w:color w:val="000000"/>
        </w:rPr>
        <w:t xml:space="preserve"> de emisiones directas e indirectas a lo largo del tiempo, utilizando métodos de cálculo y fuentes de datos comparables. Cualquier modificación en las fuentes de los datos, métodos de cálculo, </w:t>
      </w:r>
      <w:r w:rsidR="00C75960">
        <w:rPr>
          <w:rFonts w:ascii="Verdana" w:eastAsia="Verdana" w:hAnsi="Verdana" w:cs="Verdana"/>
          <w:color w:val="000000"/>
        </w:rPr>
        <w:t xml:space="preserve">los </w:t>
      </w:r>
      <w:r>
        <w:rPr>
          <w:rFonts w:ascii="Verdana" w:eastAsia="Verdana" w:hAnsi="Verdana" w:cs="Verdana"/>
          <w:color w:val="000000"/>
        </w:rPr>
        <w:t>límites del inventario, factores de emisión u otros parámetros que afecten la continuidad de la información reportada, debe ser documentada, justificada y reportada de forma clara y transparente.</w:t>
      </w:r>
    </w:p>
    <w:p w14:paraId="3445CF6D"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6E" w14:textId="77777777"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Exactitud.</w:t>
      </w:r>
      <w:r>
        <w:rPr>
          <w:rFonts w:ascii="Verdana" w:eastAsia="Verdana" w:hAnsi="Verdana" w:cs="Verdana"/>
          <w:color w:val="000000"/>
        </w:rPr>
        <w:t xml:space="preserve"> Se deberán seleccionar y utilizar datos, parámetros, variables, metodologías y modelos que aseguren que la cuantificación de emisiones de GEI está libre de errores sistemáticos y evite tanto sobreestimaciones como subestimaciones. Así mismo, deberá evidenciarse la minimización del sesgo y la incertidumbre en la mayor medida posible, garantizando la fiabilidad y robustez de la información reportada.</w:t>
      </w:r>
    </w:p>
    <w:p w14:paraId="3445CF6F"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72" w14:textId="70402C24"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Transparencia.</w:t>
      </w:r>
      <w:r>
        <w:rPr>
          <w:rFonts w:ascii="Verdana" w:eastAsia="Verdana" w:hAnsi="Verdana" w:cs="Verdana"/>
          <w:color w:val="000000"/>
        </w:rPr>
        <w:t xml:space="preserve"> Se deberá documentar de forma completa y detallada toda la información necesaria para garantizar la comprensión del alcance, el contexto y las limitaciones del informe de emisiones de GEI. Las fuentes de información, métodos de cálculo y parámetros utilizados, deberán ser claramente </w:t>
      </w:r>
      <w:r>
        <w:rPr>
          <w:rFonts w:ascii="Verdana" w:eastAsia="Verdana" w:hAnsi="Verdana" w:cs="Verdana"/>
          <w:color w:val="000000"/>
        </w:rPr>
        <w:lastRenderedPageBreak/>
        <w:t>identificables.</w:t>
      </w:r>
      <w:r w:rsidR="00A70A17">
        <w:rPr>
          <w:rFonts w:ascii="Verdana" w:eastAsia="Verdana" w:hAnsi="Verdana" w:cs="Verdana"/>
          <w:color w:val="000000"/>
        </w:rPr>
        <w:t xml:space="preserve"> </w:t>
      </w:r>
      <w:r>
        <w:rPr>
          <w:rFonts w:ascii="Verdana" w:eastAsia="Verdana" w:hAnsi="Verdana" w:cs="Verdana"/>
          <w:color w:val="000000"/>
        </w:rPr>
        <w:t>La información que se incluya en el ROE será de acceso público en los términos de</w:t>
      </w:r>
      <w:r w:rsidR="00D70E05">
        <w:rPr>
          <w:rFonts w:ascii="Verdana" w:eastAsia="Verdana" w:hAnsi="Verdana" w:cs="Verdana"/>
          <w:color w:val="000000"/>
        </w:rPr>
        <w:t xml:space="preserve"> </w:t>
      </w:r>
      <w:r w:rsidR="00D70E05">
        <w:rPr>
          <w:rFonts w:ascii="Verdana" w:eastAsia="Verdana" w:hAnsi="Verdana" w:cs="Verdana"/>
        </w:rPr>
        <w:t>L</w:t>
      </w:r>
      <w:r>
        <w:rPr>
          <w:rFonts w:ascii="Verdana" w:eastAsia="Verdana" w:hAnsi="Verdana" w:cs="Verdana"/>
          <w:color w:val="000000"/>
        </w:rPr>
        <w:t>ey 1712 de 2014.</w:t>
      </w:r>
    </w:p>
    <w:p w14:paraId="4921F5AB" w14:textId="77777777" w:rsidR="00A70A17" w:rsidRDefault="00A70A17">
      <w:pPr>
        <w:pBdr>
          <w:top w:val="nil"/>
          <w:left w:val="nil"/>
          <w:bottom w:val="nil"/>
          <w:right w:val="nil"/>
          <w:between w:val="nil"/>
        </w:pBdr>
        <w:spacing w:after="0"/>
        <w:jc w:val="both"/>
        <w:rPr>
          <w:rFonts w:ascii="Verdana" w:eastAsia="Verdana" w:hAnsi="Verdana" w:cs="Verdana"/>
          <w:color w:val="000000"/>
        </w:rPr>
      </w:pPr>
    </w:p>
    <w:p w14:paraId="30EF4669" w14:textId="34454068" w:rsidR="00A70A17" w:rsidRDefault="00A70A17">
      <w:pPr>
        <w:pBdr>
          <w:top w:val="nil"/>
          <w:left w:val="nil"/>
          <w:bottom w:val="nil"/>
          <w:right w:val="nil"/>
          <w:between w:val="nil"/>
        </w:pBdr>
        <w:spacing w:after="0"/>
        <w:jc w:val="both"/>
        <w:rPr>
          <w:rFonts w:ascii="Verdana" w:eastAsia="Verdana" w:hAnsi="Verdana" w:cs="Verdana"/>
          <w:color w:val="000000"/>
        </w:rPr>
      </w:pPr>
      <w:r w:rsidRPr="00A70A17">
        <w:rPr>
          <w:rFonts w:ascii="Verdana" w:eastAsia="Verdana" w:hAnsi="Verdana" w:cs="Verdana"/>
          <w:b/>
          <w:bCs/>
          <w:color w:val="000000"/>
        </w:rPr>
        <w:t>Parágrafo.</w:t>
      </w:r>
      <w:r w:rsidRPr="00A70A17">
        <w:rPr>
          <w:rFonts w:ascii="Verdana" w:eastAsia="Verdana" w:hAnsi="Verdana" w:cs="Verdana"/>
          <w:color w:val="000000"/>
        </w:rPr>
        <w:t xml:space="preserve"> Los principios contenidos en el presente artículo serán aplicables como criterios técnicos para la revisión de los reportes por parte del Ministerio de Ambiente y Desarrollo Sostenible.</w:t>
      </w:r>
    </w:p>
    <w:p w14:paraId="47291123" w14:textId="77777777" w:rsidR="007C7A85" w:rsidRDefault="007C7A85" w:rsidP="007C7A85">
      <w:pPr>
        <w:pBdr>
          <w:top w:val="nil"/>
          <w:left w:val="nil"/>
          <w:bottom w:val="nil"/>
          <w:right w:val="nil"/>
          <w:between w:val="nil"/>
        </w:pBdr>
        <w:spacing w:after="0"/>
        <w:jc w:val="both"/>
        <w:rPr>
          <w:rFonts w:ascii="Verdana" w:eastAsia="Verdana" w:hAnsi="Verdana" w:cs="Verdana"/>
          <w:color w:val="000000"/>
        </w:rPr>
      </w:pPr>
    </w:p>
    <w:p w14:paraId="3445CF74" w14:textId="74794048" w:rsidR="000A3508" w:rsidRDefault="00880DC3">
      <w:pPr>
        <w:pBdr>
          <w:top w:val="nil"/>
          <w:left w:val="nil"/>
          <w:bottom w:val="nil"/>
          <w:right w:val="nil"/>
          <w:between w:val="nil"/>
        </w:pBdr>
        <w:spacing w:after="0"/>
        <w:jc w:val="both"/>
        <w:rPr>
          <w:rFonts w:ascii="Verdana" w:eastAsia="Verdana" w:hAnsi="Verdana" w:cs="Verdana"/>
          <w:color w:val="000000"/>
        </w:rPr>
      </w:pPr>
      <w:r w:rsidRPr="008F66E7">
        <w:rPr>
          <w:rFonts w:ascii="Verdana" w:eastAsia="Verdana" w:hAnsi="Verdana" w:cs="Verdana"/>
          <w:b/>
          <w:bCs/>
          <w:color w:val="000000"/>
        </w:rPr>
        <w:t xml:space="preserve">Artículo 5. </w:t>
      </w:r>
      <w:r w:rsidR="008D6A31" w:rsidRPr="008F66E7">
        <w:rPr>
          <w:rFonts w:ascii="Verdana" w:eastAsia="Verdana" w:hAnsi="Verdana" w:cs="Verdana"/>
          <w:b/>
          <w:bCs/>
          <w:color w:val="000000"/>
        </w:rPr>
        <w:t xml:space="preserve">Emisiones y tipos de </w:t>
      </w:r>
      <w:r w:rsidRPr="008F66E7">
        <w:rPr>
          <w:rFonts w:ascii="Verdana" w:eastAsia="Verdana" w:hAnsi="Verdana" w:cs="Verdana"/>
          <w:b/>
          <w:bCs/>
          <w:color w:val="000000"/>
        </w:rPr>
        <w:t>Gases de Efecto Invernadero cubiertos bajo el ROE</w:t>
      </w:r>
      <w:r w:rsidRPr="008F66E7">
        <w:rPr>
          <w:rFonts w:ascii="Verdana" w:eastAsia="Verdana" w:hAnsi="Verdana" w:cs="Verdana"/>
          <w:color w:val="000000"/>
        </w:rPr>
        <w:t xml:space="preserve">. </w:t>
      </w:r>
      <w:r w:rsidR="008D6A31" w:rsidRPr="008F66E7">
        <w:rPr>
          <w:rFonts w:ascii="Verdana" w:eastAsia="Verdana" w:hAnsi="Verdana" w:cs="Verdana"/>
          <w:color w:val="000000"/>
        </w:rPr>
        <w:t>Las personas jurídicas públicas, privadas o mixtas deberán cuantificar y reportar la totalidad de las emisiones directas e indirectas de GEI, acorde con la gradualidad establecida en el artículo 1</w:t>
      </w:r>
      <w:r w:rsidR="00606049" w:rsidRPr="008F66E7">
        <w:rPr>
          <w:rFonts w:ascii="Verdana" w:eastAsia="Verdana" w:hAnsi="Verdana" w:cs="Verdana"/>
          <w:color w:val="000000"/>
        </w:rPr>
        <w:t>5</w:t>
      </w:r>
      <w:r w:rsidR="008D6A31" w:rsidRPr="008F66E7">
        <w:rPr>
          <w:rFonts w:ascii="Verdana" w:eastAsia="Verdana" w:hAnsi="Verdana" w:cs="Verdana"/>
          <w:color w:val="000000"/>
        </w:rPr>
        <w:t xml:space="preserve"> de la presente resolución y en concordancia con los limites organizacionales y operacionales declarados en el Informe de las emisiones de GEI</w:t>
      </w:r>
      <w:r w:rsidRPr="008F66E7">
        <w:rPr>
          <w:rFonts w:ascii="Verdana" w:eastAsia="Verdana" w:hAnsi="Verdana" w:cs="Verdana"/>
          <w:color w:val="000000"/>
        </w:rPr>
        <w:t>:</w:t>
      </w:r>
      <w:r>
        <w:rPr>
          <w:rFonts w:ascii="Verdana" w:eastAsia="Verdana" w:hAnsi="Verdana" w:cs="Verdana"/>
          <w:color w:val="000000"/>
        </w:rPr>
        <w:t xml:space="preserve"> </w:t>
      </w:r>
    </w:p>
    <w:p w14:paraId="3445CF75" w14:textId="77777777" w:rsidR="000A3508" w:rsidRDefault="000A3508">
      <w:pPr>
        <w:pBdr>
          <w:top w:val="nil"/>
          <w:left w:val="nil"/>
          <w:bottom w:val="nil"/>
          <w:right w:val="nil"/>
          <w:between w:val="nil"/>
        </w:pBdr>
        <w:spacing w:after="0"/>
        <w:jc w:val="both"/>
        <w:rPr>
          <w:rFonts w:ascii="Verdana" w:eastAsia="Verdana" w:hAnsi="Verdana" w:cs="Verdana"/>
          <w:color w:val="000000"/>
        </w:rPr>
      </w:pPr>
    </w:p>
    <w:tbl>
      <w:tblPr>
        <w:tblStyle w:val="a"/>
        <w:tblW w:w="8489"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1170"/>
        <w:gridCol w:w="7319"/>
      </w:tblGrid>
      <w:tr w:rsidR="000A3508" w14:paraId="3445CF78" w14:textId="77777777">
        <w:trPr>
          <w:jc w:val="center"/>
        </w:trPr>
        <w:tc>
          <w:tcPr>
            <w:tcW w:w="1170" w:type="dxa"/>
          </w:tcPr>
          <w:p w14:paraId="3445CF76"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CO</w:t>
            </w:r>
            <w:r>
              <w:rPr>
                <w:rFonts w:ascii="Verdana" w:eastAsia="Verdana" w:hAnsi="Verdana" w:cs="Verdana"/>
                <w:color w:val="000000"/>
                <w:vertAlign w:val="subscript"/>
              </w:rPr>
              <w:t>2</w:t>
            </w:r>
          </w:p>
        </w:tc>
        <w:tc>
          <w:tcPr>
            <w:tcW w:w="7319" w:type="dxa"/>
          </w:tcPr>
          <w:p w14:paraId="3445CF77"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Dióxido de carbono</w:t>
            </w:r>
          </w:p>
        </w:tc>
      </w:tr>
      <w:tr w:rsidR="000A3508" w14:paraId="3445CF7B" w14:textId="77777777">
        <w:trPr>
          <w:jc w:val="center"/>
        </w:trPr>
        <w:tc>
          <w:tcPr>
            <w:tcW w:w="1170" w:type="dxa"/>
          </w:tcPr>
          <w:p w14:paraId="3445CF79"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CH</w:t>
            </w:r>
            <w:r>
              <w:rPr>
                <w:rFonts w:ascii="Verdana" w:eastAsia="Verdana" w:hAnsi="Verdana" w:cs="Verdana"/>
                <w:color w:val="000000"/>
                <w:vertAlign w:val="subscript"/>
              </w:rPr>
              <w:t>4</w:t>
            </w:r>
          </w:p>
        </w:tc>
        <w:tc>
          <w:tcPr>
            <w:tcW w:w="7319" w:type="dxa"/>
          </w:tcPr>
          <w:p w14:paraId="3445CF7A"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Metano</w:t>
            </w:r>
          </w:p>
        </w:tc>
      </w:tr>
      <w:tr w:rsidR="000A3508" w14:paraId="3445CF7E" w14:textId="77777777">
        <w:trPr>
          <w:jc w:val="center"/>
        </w:trPr>
        <w:tc>
          <w:tcPr>
            <w:tcW w:w="1170" w:type="dxa"/>
          </w:tcPr>
          <w:p w14:paraId="3445CF7C"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N</w:t>
            </w:r>
            <w:r>
              <w:rPr>
                <w:rFonts w:ascii="Verdana" w:eastAsia="Verdana" w:hAnsi="Verdana" w:cs="Verdana"/>
                <w:color w:val="000000"/>
                <w:vertAlign w:val="subscript"/>
              </w:rPr>
              <w:t>2</w:t>
            </w:r>
            <w:r>
              <w:rPr>
                <w:rFonts w:ascii="Verdana" w:eastAsia="Verdana" w:hAnsi="Verdana" w:cs="Verdana"/>
                <w:color w:val="000000"/>
              </w:rPr>
              <w:t>O</w:t>
            </w:r>
          </w:p>
        </w:tc>
        <w:tc>
          <w:tcPr>
            <w:tcW w:w="7319" w:type="dxa"/>
          </w:tcPr>
          <w:p w14:paraId="3445CF7D"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Óxido nitroso</w:t>
            </w:r>
          </w:p>
        </w:tc>
      </w:tr>
      <w:tr w:rsidR="000A3508" w14:paraId="3445CF81" w14:textId="77777777">
        <w:trPr>
          <w:jc w:val="center"/>
        </w:trPr>
        <w:tc>
          <w:tcPr>
            <w:tcW w:w="1170" w:type="dxa"/>
          </w:tcPr>
          <w:p w14:paraId="3445CF7F"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HFC</w:t>
            </w:r>
          </w:p>
        </w:tc>
        <w:tc>
          <w:tcPr>
            <w:tcW w:w="7319" w:type="dxa"/>
          </w:tcPr>
          <w:p w14:paraId="3445CF80"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Hidrofluorocarbonos</w:t>
            </w:r>
          </w:p>
        </w:tc>
      </w:tr>
      <w:tr w:rsidR="000A3508" w14:paraId="3445CF84" w14:textId="77777777">
        <w:trPr>
          <w:jc w:val="center"/>
        </w:trPr>
        <w:tc>
          <w:tcPr>
            <w:tcW w:w="1170" w:type="dxa"/>
          </w:tcPr>
          <w:p w14:paraId="3445CF82"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PFC</w:t>
            </w:r>
          </w:p>
        </w:tc>
        <w:tc>
          <w:tcPr>
            <w:tcW w:w="7319" w:type="dxa"/>
          </w:tcPr>
          <w:p w14:paraId="3445CF83"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Perfluorocarbonos</w:t>
            </w:r>
          </w:p>
        </w:tc>
      </w:tr>
      <w:tr w:rsidR="000A3508" w14:paraId="3445CF87" w14:textId="77777777">
        <w:trPr>
          <w:jc w:val="center"/>
        </w:trPr>
        <w:tc>
          <w:tcPr>
            <w:tcW w:w="1170" w:type="dxa"/>
          </w:tcPr>
          <w:p w14:paraId="3445CF85" w14:textId="77777777" w:rsidR="000A3508" w:rsidRDefault="00880DC3">
            <w:pPr>
              <w:pBdr>
                <w:top w:val="nil"/>
                <w:left w:val="nil"/>
                <w:bottom w:val="nil"/>
                <w:right w:val="nil"/>
                <w:between w:val="nil"/>
              </w:pBdr>
              <w:spacing w:line="256" w:lineRule="auto"/>
              <w:jc w:val="center"/>
              <w:rPr>
                <w:rFonts w:ascii="Verdana" w:eastAsia="Verdana" w:hAnsi="Verdana" w:cs="Verdana"/>
                <w:color w:val="000000"/>
              </w:rPr>
            </w:pPr>
            <w:r>
              <w:rPr>
                <w:rFonts w:ascii="Verdana" w:eastAsia="Verdana" w:hAnsi="Verdana" w:cs="Verdana"/>
                <w:color w:val="000000"/>
              </w:rPr>
              <w:t>SF</w:t>
            </w:r>
            <w:r>
              <w:rPr>
                <w:rFonts w:ascii="Verdana" w:eastAsia="Verdana" w:hAnsi="Verdana" w:cs="Verdana"/>
                <w:color w:val="000000"/>
                <w:vertAlign w:val="subscript"/>
              </w:rPr>
              <w:t>6</w:t>
            </w:r>
          </w:p>
        </w:tc>
        <w:tc>
          <w:tcPr>
            <w:tcW w:w="7319" w:type="dxa"/>
          </w:tcPr>
          <w:p w14:paraId="3445CF86" w14:textId="77777777" w:rsidR="000A3508" w:rsidRDefault="00880DC3">
            <w:pPr>
              <w:pBdr>
                <w:top w:val="nil"/>
                <w:left w:val="nil"/>
                <w:bottom w:val="nil"/>
                <w:right w:val="nil"/>
                <w:between w:val="nil"/>
              </w:pBdr>
              <w:spacing w:line="256" w:lineRule="auto"/>
              <w:jc w:val="both"/>
              <w:rPr>
                <w:rFonts w:ascii="Verdana" w:eastAsia="Verdana" w:hAnsi="Verdana" w:cs="Verdana"/>
                <w:color w:val="000000"/>
              </w:rPr>
            </w:pPr>
            <w:r>
              <w:rPr>
                <w:rFonts w:ascii="Verdana" w:eastAsia="Verdana" w:hAnsi="Verdana" w:cs="Verdana"/>
                <w:color w:val="000000"/>
              </w:rPr>
              <w:t>Hexafluoruro de azufre</w:t>
            </w:r>
          </w:p>
        </w:tc>
      </w:tr>
    </w:tbl>
    <w:p w14:paraId="3445CF8B"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2194615E" w14:textId="227EE6AB" w:rsidR="00090593" w:rsidRDefault="007532C2">
      <w:pPr>
        <w:pBdr>
          <w:top w:val="nil"/>
          <w:left w:val="nil"/>
          <w:bottom w:val="nil"/>
          <w:right w:val="nil"/>
          <w:between w:val="nil"/>
        </w:pBdr>
        <w:spacing w:after="0"/>
        <w:jc w:val="both"/>
        <w:rPr>
          <w:rFonts w:ascii="Verdana" w:eastAsia="Verdana" w:hAnsi="Verdana" w:cs="Verdana"/>
          <w:b/>
          <w:bCs/>
          <w:color w:val="000000"/>
        </w:rPr>
      </w:pPr>
      <w:r w:rsidRPr="007532C2">
        <w:rPr>
          <w:rFonts w:ascii="Verdana" w:eastAsia="Verdana" w:hAnsi="Verdana" w:cs="Verdana"/>
          <w:b/>
          <w:bCs/>
          <w:color w:val="000000"/>
        </w:rPr>
        <w:t>Parágrafo 1.</w:t>
      </w:r>
      <w:r w:rsidRPr="007532C2">
        <w:rPr>
          <w:rFonts w:ascii="Verdana" w:eastAsia="Verdana" w:hAnsi="Verdana" w:cs="Verdana"/>
          <w:color w:val="000000"/>
        </w:rPr>
        <w:t xml:space="preserve"> Sin perjuicio de los gases de efecto invernadero principales definidos en el artículo 3 de la Ley 1931 de 2018, para efectos del Reporte Obligatorio de Emisiones de GEI (ROE) las personas jurídicas</w:t>
      </w:r>
      <w:r w:rsidR="00EA0939">
        <w:rPr>
          <w:rFonts w:ascii="Verdana" w:eastAsia="Verdana" w:hAnsi="Verdana" w:cs="Verdana"/>
          <w:color w:val="000000"/>
        </w:rPr>
        <w:t xml:space="preserve"> p</w:t>
      </w:r>
      <w:r w:rsidR="00673981">
        <w:rPr>
          <w:rFonts w:ascii="Verdana" w:eastAsia="Verdana" w:hAnsi="Verdana" w:cs="Verdana"/>
          <w:color w:val="000000"/>
        </w:rPr>
        <w:t>ú</w:t>
      </w:r>
      <w:r w:rsidR="00EA0939">
        <w:rPr>
          <w:rFonts w:ascii="Verdana" w:eastAsia="Verdana" w:hAnsi="Verdana" w:cs="Verdana"/>
          <w:color w:val="000000"/>
        </w:rPr>
        <w:t>blicas</w:t>
      </w:r>
      <w:r w:rsidR="00673981">
        <w:rPr>
          <w:rFonts w:ascii="Verdana" w:eastAsia="Verdana" w:hAnsi="Verdana" w:cs="Verdana"/>
          <w:color w:val="000000"/>
        </w:rPr>
        <w:t>,</w:t>
      </w:r>
      <w:r w:rsidR="00EA0939">
        <w:rPr>
          <w:rFonts w:ascii="Verdana" w:eastAsia="Verdana" w:hAnsi="Verdana" w:cs="Verdana"/>
          <w:color w:val="000000"/>
        </w:rPr>
        <w:t xml:space="preserve"> privadas o mixtas, </w:t>
      </w:r>
      <w:r w:rsidRPr="007532C2">
        <w:rPr>
          <w:rFonts w:ascii="Verdana" w:eastAsia="Verdana" w:hAnsi="Verdana" w:cs="Verdana"/>
          <w:color w:val="000000"/>
        </w:rPr>
        <w:t xml:space="preserve">deberán igualmente cuantificar y reportar las emisiones de </w:t>
      </w:r>
      <w:proofErr w:type="spellStart"/>
      <w:r w:rsidRPr="007532C2">
        <w:rPr>
          <w:rFonts w:ascii="Verdana" w:eastAsia="Verdana" w:hAnsi="Verdana" w:cs="Verdana"/>
          <w:color w:val="000000"/>
        </w:rPr>
        <w:t>Trifluoruro</w:t>
      </w:r>
      <w:proofErr w:type="spellEnd"/>
      <w:r w:rsidRPr="007532C2">
        <w:rPr>
          <w:rFonts w:ascii="Verdana" w:eastAsia="Verdana" w:hAnsi="Verdana" w:cs="Verdana"/>
          <w:color w:val="000000"/>
        </w:rPr>
        <w:t xml:space="preserve"> de nitrógeno (NF₃), cuando correspondan, de conformidad con </w:t>
      </w:r>
      <w:r w:rsidR="007044BD">
        <w:rPr>
          <w:rFonts w:ascii="Verdana" w:eastAsia="Verdana" w:hAnsi="Verdana" w:cs="Verdana"/>
          <w:color w:val="000000"/>
        </w:rPr>
        <w:t xml:space="preserve">el </w:t>
      </w:r>
      <w:r w:rsidR="001235FF" w:rsidRPr="001235FF">
        <w:rPr>
          <w:rFonts w:ascii="Verdana" w:eastAsia="Verdana" w:hAnsi="Verdana" w:cs="Verdana"/>
          <w:color w:val="000000"/>
        </w:rPr>
        <w:t>Protocolo de Cuantificación y Reporte de Emisiones del ROE</w:t>
      </w:r>
      <w:r w:rsidR="001235FF">
        <w:rPr>
          <w:rFonts w:ascii="Verdana" w:eastAsia="Verdana" w:hAnsi="Verdana" w:cs="Verdana"/>
          <w:color w:val="000000"/>
        </w:rPr>
        <w:t xml:space="preserve"> al que hace referencia el artículo 17 </w:t>
      </w:r>
      <w:r w:rsidRPr="007532C2">
        <w:rPr>
          <w:rFonts w:ascii="Verdana" w:eastAsia="Verdana" w:hAnsi="Verdana" w:cs="Verdana"/>
          <w:color w:val="000000"/>
        </w:rPr>
        <w:t>de la presente resolución</w:t>
      </w:r>
      <w:r w:rsidR="00673981">
        <w:rPr>
          <w:rFonts w:ascii="Verdana" w:eastAsia="Verdana" w:hAnsi="Verdana" w:cs="Verdana"/>
          <w:color w:val="000000"/>
        </w:rPr>
        <w:t xml:space="preserve"> y demás disposiciones contenidas en la misma</w:t>
      </w:r>
      <w:r w:rsidRPr="007532C2">
        <w:rPr>
          <w:rFonts w:ascii="Verdana" w:eastAsia="Verdana" w:hAnsi="Verdana" w:cs="Verdana"/>
          <w:color w:val="000000"/>
        </w:rPr>
        <w:t>.</w:t>
      </w:r>
    </w:p>
    <w:p w14:paraId="11B1860F" w14:textId="77777777" w:rsidR="007532C2" w:rsidRPr="00630CB8" w:rsidRDefault="007532C2">
      <w:pPr>
        <w:pBdr>
          <w:top w:val="nil"/>
          <w:left w:val="nil"/>
          <w:bottom w:val="nil"/>
          <w:right w:val="nil"/>
          <w:between w:val="nil"/>
        </w:pBdr>
        <w:spacing w:after="0"/>
        <w:jc w:val="both"/>
        <w:rPr>
          <w:rFonts w:ascii="Verdana" w:eastAsia="Verdana" w:hAnsi="Verdana" w:cs="Verdana"/>
          <w:b/>
          <w:bCs/>
          <w:color w:val="000000"/>
        </w:rPr>
      </w:pPr>
    </w:p>
    <w:p w14:paraId="3445CF8C" w14:textId="0951C8E3" w:rsidR="000A3508" w:rsidRDefault="00880DC3">
      <w:pPr>
        <w:pBdr>
          <w:top w:val="nil"/>
          <w:left w:val="nil"/>
          <w:bottom w:val="nil"/>
          <w:right w:val="nil"/>
          <w:between w:val="nil"/>
        </w:pBdr>
        <w:spacing w:after="0"/>
        <w:jc w:val="both"/>
        <w:rPr>
          <w:rFonts w:ascii="Verdana" w:eastAsia="Verdana" w:hAnsi="Verdana" w:cs="Verdana"/>
          <w:color w:val="000000"/>
        </w:rPr>
      </w:pPr>
      <w:r w:rsidRPr="00630CB8">
        <w:rPr>
          <w:rFonts w:ascii="Verdana" w:eastAsia="Verdana" w:hAnsi="Verdana" w:cs="Verdana"/>
          <w:b/>
          <w:bCs/>
          <w:color w:val="000000"/>
        </w:rPr>
        <w:t>Parágrafo</w:t>
      </w:r>
      <w:r w:rsidR="00D876F1" w:rsidRPr="00630CB8">
        <w:rPr>
          <w:rFonts w:ascii="Verdana" w:eastAsia="Verdana" w:hAnsi="Verdana" w:cs="Verdana"/>
          <w:b/>
          <w:bCs/>
          <w:color w:val="000000"/>
        </w:rPr>
        <w:t xml:space="preserve"> 2</w:t>
      </w:r>
      <w:r w:rsidRPr="00630CB8">
        <w:rPr>
          <w:rFonts w:ascii="Verdana" w:eastAsia="Verdana" w:hAnsi="Verdana" w:cs="Verdana"/>
          <w:b/>
          <w:bCs/>
          <w:color w:val="000000"/>
        </w:rPr>
        <w:t xml:space="preserve">. </w:t>
      </w:r>
      <w:r w:rsidRPr="00630CB8">
        <w:rPr>
          <w:rFonts w:ascii="Verdana" w:eastAsia="Verdana" w:hAnsi="Verdana" w:cs="Verdana"/>
          <w:color w:val="000000"/>
        </w:rPr>
        <w:t>El Ministerio de Ambiente y Desarrollo Sostenible, podrá determinar la inclusión de aquellos</w:t>
      </w:r>
      <w:r w:rsidRPr="00630CB8">
        <w:rPr>
          <w:rFonts w:ascii="Verdana" w:eastAsia="Verdana" w:hAnsi="Verdana" w:cs="Verdana"/>
          <w:b/>
          <w:bCs/>
          <w:color w:val="000000"/>
        </w:rPr>
        <w:t xml:space="preserve"> </w:t>
      </w:r>
      <w:r w:rsidRPr="00630CB8">
        <w:rPr>
          <w:rFonts w:ascii="Verdana" w:eastAsia="Verdana" w:hAnsi="Verdana" w:cs="Verdana"/>
          <w:color w:val="000000"/>
        </w:rPr>
        <w:t xml:space="preserve">GEI que sean considerados por la </w:t>
      </w:r>
      <w:sdt>
        <w:sdtPr>
          <w:tag w:val="goog_rdk_75"/>
          <w:id w:val="-1796648875"/>
          <w:showingPlcHdr/>
        </w:sdtPr>
        <w:sdtContent>
          <w:r w:rsidR="001D4D8F" w:rsidRPr="00630CB8">
            <w:t xml:space="preserve">     </w:t>
          </w:r>
        </w:sdtContent>
      </w:sdt>
      <w:r w:rsidRPr="00630CB8">
        <w:rPr>
          <w:rFonts w:ascii="Verdana" w:eastAsia="Verdana" w:hAnsi="Verdana" w:cs="Verdana"/>
          <w:color w:val="000000"/>
        </w:rPr>
        <w:t>CMNUCC o el Panel Intergubernamental para el Cambio Climático (IPCC).</w:t>
      </w:r>
    </w:p>
    <w:p w14:paraId="3445CF8D"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8F"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90" w14:textId="4B689841"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Artículo </w:t>
      </w:r>
      <w:r w:rsidR="008D6A31">
        <w:rPr>
          <w:rFonts w:ascii="Verdana" w:eastAsia="Verdana" w:hAnsi="Verdana" w:cs="Verdana"/>
          <w:b/>
          <w:bCs/>
          <w:color w:val="000000"/>
        </w:rPr>
        <w:t>6</w:t>
      </w:r>
      <w:r>
        <w:rPr>
          <w:rFonts w:ascii="Verdana" w:eastAsia="Verdana" w:hAnsi="Verdana" w:cs="Verdana"/>
          <w:b/>
          <w:bCs/>
          <w:color w:val="000000"/>
        </w:rPr>
        <w:t xml:space="preserve">. Reporte Obligatorio de Emisiones de GEI (ROE). </w:t>
      </w:r>
      <w:r>
        <w:rPr>
          <w:rFonts w:ascii="Verdana" w:eastAsia="Verdana" w:hAnsi="Verdana" w:cs="Verdana"/>
          <w:color w:val="000000"/>
        </w:rPr>
        <w:t xml:space="preserve">El Reporte Obligatorio de </w:t>
      </w:r>
      <w:r w:rsidR="00DA25F8">
        <w:rPr>
          <w:rFonts w:ascii="Verdana" w:eastAsia="Verdana" w:hAnsi="Verdana" w:cs="Verdana"/>
          <w:color w:val="000000"/>
        </w:rPr>
        <w:t xml:space="preserve">emisiones de </w:t>
      </w:r>
      <w:r>
        <w:rPr>
          <w:rFonts w:ascii="Verdana" w:eastAsia="Verdana" w:hAnsi="Verdana" w:cs="Verdana"/>
          <w:color w:val="000000"/>
        </w:rPr>
        <w:t>GEI comprende</w:t>
      </w:r>
      <w:r w:rsidR="007C0BE3">
        <w:rPr>
          <w:rFonts w:ascii="Verdana" w:eastAsia="Verdana" w:hAnsi="Verdana" w:cs="Verdana"/>
          <w:color w:val="000000"/>
        </w:rPr>
        <w:t>:</w:t>
      </w:r>
      <w:r>
        <w:rPr>
          <w:rFonts w:ascii="Verdana" w:eastAsia="Verdana" w:hAnsi="Verdana" w:cs="Verdana"/>
          <w:color w:val="000000"/>
        </w:rPr>
        <w:t xml:space="preserve"> </w:t>
      </w:r>
    </w:p>
    <w:p w14:paraId="3CC08624" w14:textId="77777777" w:rsidR="00110873" w:rsidRDefault="00110873">
      <w:pPr>
        <w:pBdr>
          <w:top w:val="nil"/>
          <w:left w:val="nil"/>
          <w:bottom w:val="nil"/>
          <w:right w:val="nil"/>
          <w:between w:val="nil"/>
        </w:pBdr>
        <w:spacing w:after="0"/>
        <w:jc w:val="both"/>
        <w:rPr>
          <w:rFonts w:ascii="Verdana" w:eastAsia="Verdana" w:hAnsi="Verdana" w:cs="Verdana"/>
          <w:color w:val="000000"/>
        </w:rPr>
      </w:pPr>
    </w:p>
    <w:p w14:paraId="11706343" w14:textId="10099FBA" w:rsidR="00110873" w:rsidRPr="00110873" w:rsidRDefault="00110873" w:rsidP="00110873">
      <w:pPr>
        <w:numPr>
          <w:ilvl w:val="0"/>
          <w:numId w:val="24"/>
        </w:numPr>
        <w:pBdr>
          <w:top w:val="nil"/>
          <w:left w:val="nil"/>
          <w:bottom w:val="nil"/>
          <w:right w:val="nil"/>
          <w:between w:val="nil"/>
        </w:pBdr>
        <w:spacing w:after="0"/>
        <w:jc w:val="both"/>
        <w:rPr>
          <w:rFonts w:ascii="Verdana" w:eastAsia="Verdana" w:hAnsi="Verdana" w:cs="Verdana"/>
          <w:color w:val="000000"/>
          <w:lang w:val="es-CO"/>
        </w:rPr>
      </w:pPr>
      <w:r w:rsidRPr="00110873">
        <w:rPr>
          <w:rFonts w:ascii="Verdana" w:eastAsia="Verdana" w:hAnsi="Verdana" w:cs="Verdana"/>
          <w:color w:val="000000"/>
          <w:lang w:val="es-CO"/>
        </w:rPr>
        <w:t>La cuantificación de las emisiones directas e indirectas de GEI, de conformidad con las metodologías definidas por el Ministerio de Ambiente y Desarrollo Sostenible</w:t>
      </w:r>
      <w:r w:rsidR="00711966">
        <w:rPr>
          <w:rFonts w:ascii="Verdana" w:eastAsia="Verdana" w:hAnsi="Verdana" w:cs="Verdana"/>
          <w:color w:val="000000"/>
          <w:lang w:val="es-CO"/>
        </w:rPr>
        <w:t>.</w:t>
      </w:r>
    </w:p>
    <w:p w14:paraId="1F9CC959" w14:textId="6EDB23B7" w:rsidR="00110873" w:rsidRPr="00110873" w:rsidRDefault="00110873" w:rsidP="00110873">
      <w:pPr>
        <w:numPr>
          <w:ilvl w:val="0"/>
          <w:numId w:val="24"/>
        </w:numPr>
        <w:pBdr>
          <w:top w:val="nil"/>
          <w:left w:val="nil"/>
          <w:bottom w:val="nil"/>
          <w:right w:val="nil"/>
          <w:between w:val="nil"/>
        </w:pBdr>
        <w:spacing w:after="0"/>
        <w:jc w:val="both"/>
        <w:rPr>
          <w:rFonts w:ascii="Verdana" w:eastAsia="Verdana" w:hAnsi="Verdana" w:cs="Verdana"/>
          <w:color w:val="000000"/>
          <w:lang w:val="es-CO"/>
        </w:rPr>
      </w:pPr>
      <w:r w:rsidRPr="00110873">
        <w:rPr>
          <w:rFonts w:ascii="Verdana" w:eastAsia="Verdana" w:hAnsi="Verdana" w:cs="Verdana"/>
          <w:color w:val="000000"/>
          <w:lang w:val="es-CO"/>
        </w:rPr>
        <w:t>La elaboración del informe de emisiones de G</w:t>
      </w:r>
      <w:r w:rsidR="00750358">
        <w:rPr>
          <w:rFonts w:ascii="Verdana" w:eastAsia="Verdana" w:hAnsi="Verdana" w:cs="Verdana"/>
          <w:color w:val="000000"/>
          <w:lang w:val="es-CO"/>
        </w:rPr>
        <w:t>EI</w:t>
      </w:r>
      <w:r w:rsidR="00711966">
        <w:rPr>
          <w:rFonts w:ascii="Verdana" w:eastAsia="Verdana" w:hAnsi="Verdana" w:cs="Verdana"/>
          <w:color w:val="000000"/>
          <w:lang w:val="es-CO"/>
        </w:rPr>
        <w:t>.</w:t>
      </w:r>
    </w:p>
    <w:p w14:paraId="5CE52429" w14:textId="32CF2693" w:rsidR="00110873" w:rsidRPr="00110873" w:rsidRDefault="00110873" w:rsidP="00110873">
      <w:pPr>
        <w:numPr>
          <w:ilvl w:val="0"/>
          <w:numId w:val="24"/>
        </w:numPr>
        <w:pBdr>
          <w:top w:val="nil"/>
          <w:left w:val="nil"/>
          <w:bottom w:val="nil"/>
          <w:right w:val="nil"/>
          <w:between w:val="nil"/>
        </w:pBdr>
        <w:spacing w:after="0"/>
        <w:jc w:val="both"/>
        <w:rPr>
          <w:rFonts w:ascii="Verdana" w:eastAsia="Verdana" w:hAnsi="Verdana" w:cs="Verdana"/>
          <w:color w:val="000000"/>
          <w:lang w:val="es-CO"/>
        </w:rPr>
      </w:pPr>
      <w:r w:rsidRPr="00110873">
        <w:rPr>
          <w:rFonts w:ascii="Verdana" w:eastAsia="Verdana" w:hAnsi="Verdana" w:cs="Verdana"/>
          <w:color w:val="000000"/>
          <w:lang w:val="es-CO"/>
        </w:rPr>
        <w:t>El registro, carga y</w:t>
      </w:r>
      <w:r w:rsidR="0096513C">
        <w:rPr>
          <w:rFonts w:ascii="Verdana" w:eastAsia="Verdana" w:hAnsi="Verdana" w:cs="Verdana"/>
          <w:color w:val="000000"/>
          <w:lang w:val="es-CO"/>
        </w:rPr>
        <w:t xml:space="preserve"> consolidación</w:t>
      </w:r>
      <w:r w:rsidRPr="00110873">
        <w:rPr>
          <w:rFonts w:ascii="Verdana" w:eastAsia="Verdana" w:hAnsi="Verdana" w:cs="Verdana"/>
          <w:color w:val="000000"/>
          <w:lang w:val="es-CO"/>
        </w:rPr>
        <w:t xml:space="preserve"> de la información a través de la Plataforma</w:t>
      </w:r>
      <w:r w:rsidR="00D36D7E">
        <w:rPr>
          <w:rFonts w:ascii="Verdana" w:eastAsia="Verdana" w:hAnsi="Verdana" w:cs="Verdana"/>
          <w:color w:val="000000"/>
          <w:lang w:val="es-CO"/>
        </w:rPr>
        <w:t xml:space="preserve"> ROE.</w:t>
      </w:r>
    </w:p>
    <w:p w14:paraId="5DA92803" w14:textId="3B87F4FD" w:rsidR="00110873" w:rsidRDefault="00110873" w:rsidP="00110873">
      <w:pPr>
        <w:numPr>
          <w:ilvl w:val="0"/>
          <w:numId w:val="24"/>
        </w:numPr>
        <w:pBdr>
          <w:top w:val="nil"/>
          <w:left w:val="nil"/>
          <w:bottom w:val="nil"/>
          <w:right w:val="nil"/>
          <w:between w:val="nil"/>
        </w:pBdr>
        <w:spacing w:after="0"/>
        <w:jc w:val="both"/>
        <w:rPr>
          <w:rFonts w:ascii="Verdana" w:eastAsia="Verdana" w:hAnsi="Verdana" w:cs="Verdana"/>
          <w:color w:val="000000"/>
          <w:lang w:val="es-CO"/>
        </w:rPr>
      </w:pPr>
      <w:r w:rsidRPr="00110873">
        <w:rPr>
          <w:rFonts w:ascii="Verdana" w:eastAsia="Verdana" w:hAnsi="Verdana" w:cs="Verdana"/>
          <w:color w:val="000000"/>
          <w:lang w:val="es-CO"/>
        </w:rPr>
        <w:t>La entrega de</w:t>
      </w:r>
      <w:r w:rsidR="009D12A1">
        <w:rPr>
          <w:rFonts w:ascii="Verdana" w:eastAsia="Verdana" w:hAnsi="Verdana" w:cs="Verdana"/>
          <w:color w:val="000000"/>
          <w:lang w:val="es-CO"/>
        </w:rPr>
        <w:t xml:space="preserve">l </w:t>
      </w:r>
      <w:r w:rsidRPr="00110873">
        <w:rPr>
          <w:rFonts w:ascii="Verdana" w:eastAsia="Verdana" w:hAnsi="Verdana" w:cs="Verdana"/>
          <w:color w:val="000000"/>
          <w:lang w:val="es-CO"/>
        </w:rPr>
        <w:t>inform</w:t>
      </w:r>
      <w:r w:rsidR="009D12A1">
        <w:rPr>
          <w:rFonts w:ascii="Verdana" w:eastAsia="Verdana" w:hAnsi="Verdana" w:cs="Verdana"/>
          <w:color w:val="000000"/>
          <w:lang w:val="es-CO"/>
        </w:rPr>
        <w:t>e de emisiones</w:t>
      </w:r>
      <w:r w:rsidR="00211735">
        <w:rPr>
          <w:rFonts w:ascii="Verdana" w:eastAsia="Verdana" w:hAnsi="Verdana" w:cs="Verdana"/>
          <w:color w:val="000000"/>
          <w:lang w:val="es-CO"/>
        </w:rPr>
        <w:t xml:space="preserve"> de GEI</w:t>
      </w:r>
      <w:r w:rsidR="009D12A1">
        <w:rPr>
          <w:rFonts w:ascii="Verdana" w:eastAsia="Verdana" w:hAnsi="Verdana" w:cs="Verdana"/>
          <w:color w:val="000000"/>
          <w:lang w:val="es-CO"/>
        </w:rPr>
        <w:t xml:space="preserve"> debidamente verificado, así como de la </w:t>
      </w:r>
      <w:r w:rsidRPr="00110873">
        <w:rPr>
          <w:rFonts w:ascii="Verdana" w:eastAsia="Verdana" w:hAnsi="Verdana" w:cs="Verdana"/>
          <w:color w:val="000000"/>
          <w:lang w:val="es-CO"/>
        </w:rPr>
        <w:t xml:space="preserve">documentación </w:t>
      </w:r>
      <w:r w:rsidR="00106254">
        <w:rPr>
          <w:rFonts w:ascii="Verdana" w:eastAsia="Verdana" w:hAnsi="Verdana" w:cs="Verdana"/>
          <w:color w:val="000000"/>
          <w:lang w:val="es-CO"/>
        </w:rPr>
        <w:t xml:space="preserve">de </w:t>
      </w:r>
      <w:r w:rsidRPr="00110873">
        <w:rPr>
          <w:rFonts w:ascii="Verdana" w:eastAsia="Verdana" w:hAnsi="Verdana" w:cs="Verdana"/>
          <w:color w:val="000000"/>
          <w:lang w:val="es-CO"/>
        </w:rPr>
        <w:t>soporte</w:t>
      </w:r>
      <w:r w:rsidR="00211735">
        <w:rPr>
          <w:rFonts w:ascii="Verdana" w:eastAsia="Verdana" w:hAnsi="Verdana" w:cs="Verdana"/>
          <w:color w:val="000000"/>
          <w:lang w:val="es-CO"/>
        </w:rPr>
        <w:t>,</w:t>
      </w:r>
      <w:r w:rsidRPr="00110873">
        <w:rPr>
          <w:rFonts w:ascii="Verdana" w:eastAsia="Verdana" w:hAnsi="Verdana" w:cs="Verdana"/>
          <w:color w:val="000000"/>
          <w:lang w:val="es-CO"/>
        </w:rPr>
        <w:t xml:space="preserve"> utilizada para la elaboración del inventario de emisiones de GEI</w:t>
      </w:r>
      <w:r w:rsidR="009D12A1">
        <w:rPr>
          <w:rFonts w:ascii="Verdana" w:eastAsia="Verdana" w:hAnsi="Verdana" w:cs="Verdana"/>
          <w:color w:val="000000"/>
          <w:lang w:val="es-CO"/>
        </w:rPr>
        <w:t>, a través de la plataforma ROE.</w:t>
      </w:r>
    </w:p>
    <w:p w14:paraId="64CD8BAA" w14:textId="77777777" w:rsidR="007C0BE3" w:rsidRDefault="007C0BE3" w:rsidP="00110873">
      <w:pPr>
        <w:pBdr>
          <w:top w:val="nil"/>
          <w:left w:val="nil"/>
          <w:bottom w:val="nil"/>
          <w:right w:val="nil"/>
          <w:between w:val="nil"/>
        </w:pBdr>
        <w:spacing w:after="0"/>
        <w:jc w:val="both"/>
        <w:rPr>
          <w:rFonts w:ascii="Verdana" w:eastAsia="Verdana" w:hAnsi="Verdana" w:cs="Verdana"/>
          <w:color w:val="000000"/>
          <w:lang w:val="es-CO"/>
        </w:rPr>
      </w:pPr>
    </w:p>
    <w:p w14:paraId="3445CF92" w14:textId="5A8E9360" w:rsidR="000A3508" w:rsidRDefault="00880DC3">
      <w:pPr>
        <w:pBdr>
          <w:top w:val="nil"/>
          <w:left w:val="nil"/>
          <w:bottom w:val="nil"/>
          <w:right w:val="nil"/>
          <w:between w:val="nil"/>
        </w:pBdr>
        <w:spacing w:after="0"/>
        <w:jc w:val="both"/>
        <w:rPr>
          <w:rFonts w:ascii="Verdana" w:eastAsia="Verdana" w:hAnsi="Verdana" w:cs="Verdana"/>
          <w:color w:val="000000"/>
        </w:rPr>
      </w:pPr>
      <w:r w:rsidRPr="001D4D8F">
        <w:rPr>
          <w:rFonts w:ascii="Verdana" w:eastAsia="Verdana" w:hAnsi="Verdana" w:cs="Verdana"/>
          <w:b/>
          <w:bCs/>
          <w:color w:val="000000"/>
        </w:rPr>
        <w:t xml:space="preserve">Artículo </w:t>
      </w:r>
      <w:r w:rsidR="000D1D38" w:rsidRPr="001D4D8F">
        <w:rPr>
          <w:rFonts w:ascii="Verdana" w:eastAsia="Verdana" w:hAnsi="Verdana" w:cs="Verdana"/>
          <w:b/>
          <w:bCs/>
          <w:color w:val="000000"/>
        </w:rPr>
        <w:t>7</w:t>
      </w:r>
      <w:r w:rsidRPr="001D4D8F">
        <w:rPr>
          <w:rFonts w:ascii="Verdana" w:eastAsia="Verdana" w:hAnsi="Verdana" w:cs="Verdana"/>
          <w:b/>
          <w:bCs/>
          <w:color w:val="000000"/>
        </w:rPr>
        <w:t>. Informe de Emisiones de GEI</w:t>
      </w:r>
      <w:r w:rsidRPr="001D4D8F">
        <w:rPr>
          <w:rFonts w:ascii="Verdana" w:eastAsia="Verdana" w:hAnsi="Verdana" w:cs="Verdana"/>
          <w:color w:val="000000"/>
        </w:rPr>
        <w:t>. El informe de emisiones de GEI</w:t>
      </w:r>
      <w:r w:rsidR="00BB0AD8" w:rsidRPr="001D4D8F">
        <w:rPr>
          <w:rFonts w:ascii="Verdana" w:eastAsia="Verdana" w:hAnsi="Verdana" w:cs="Verdana"/>
          <w:color w:val="000000"/>
        </w:rPr>
        <w:t>, debe ser verificado en concordancia</w:t>
      </w:r>
      <w:r w:rsidR="000D099D" w:rsidRPr="001D4D8F">
        <w:rPr>
          <w:rFonts w:ascii="Verdana" w:eastAsia="Verdana" w:hAnsi="Verdana" w:cs="Verdana"/>
          <w:color w:val="000000"/>
        </w:rPr>
        <w:t xml:space="preserve"> con lo establecido en los artículos 2</w:t>
      </w:r>
      <w:r w:rsidR="00867EEE" w:rsidRPr="001D4D8F">
        <w:rPr>
          <w:rFonts w:ascii="Verdana" w:eastAsia="Verdana" w:hAnsi="Verdana" w:cs="Verdana"/>
          <w:color w:val="000000"/>
        </w:rPr>
        <w:t>3, 24, y 25</w:t>
      </w:r>
      <w:r w:rsidR="000D099D" w:rsidRPr="001D4D8F">
        <w:rPr>
          <w:rFonts w:ascii="Verdana" w:eastAsia="Verdana" w:hAnsi="Verdana" w:cs="Verdana"/>
          <w:color w:val="000000"/>
        </w:rPr>
        <w:t xml:space="preserve"> de la presente resolución</w:t>
      </w:r>
      <w:r w:rsidR="00D96ECD" w:rsidRPr="001D4D8F">
        <w:rPr>
          <w:rFonts w:ascii="Verdana" w:eastAsia="Verdana" w:hAnsi="Verdana" w:cs="Verdana"/>
          <w:color w:val="000000"/>
        </w:rPr>
        <w:t xml:space="preserve">. El informe de emisiones de GEI </w:t>
      </w:r>
      <w:r w:rsidRPr="001D4D8F">
        <w:rPr>
          <w:rFonts w:ascii="Verdana" w:eastAsia="Verdana" w:hAnsi="Verdana" w:cs="Verdana"/>
          <w:color w:val="000000"/>
        </w:rPr>
        <w:t xml:space="preserve">deberá ser </w:t>
      </w:r>
      <w:r w:rsidRPr="001D4D8F">
        <w:rPr>
          <w:rFonts w:ascii="Verdana" w:eastAsia="Verdana" w:hAnsi="Verdana" w:cs="Verdana"/>
          <w:color w:val="000000"/>
        </w:rPr>
        <w:lastRenderedPageBreak/>
        <w:t>entregado por las personas jurídicas públicas, privadas o mixtas con obligación de reporte y contendrá la información consistente, ordenada y veraz relacionada con la</w:t>
      </w:r>
      <w:r w:rsidR="00456122" w:rsidRPr="001D4D8F">
        <w:rPr>
          <w:rFonts w:ascii="Verdana" w:eastAsia="Verdana" w:hAnsi="Verdana" w:cs="Verdana"/>
          <w:color w:val="000000"/>
        </w:rPr>
        <w:t xml:space="preserve"> cuantificación</w:t>
      </w:r>
      <w:r w:rsidR="00975F96" w:rsidRPr="001D4D8F">
        <w:rPr>
          <w:rFonts w:ascii="Verdana" w:eastAsia="Verdana" w:hAnsi="Verdana" w:cs="Verdana"/>
          <w:color w:val="000000"/>
        </w:rPr>
        <w:t xml:space="preserve"> </w:t>
      </w:r>
      <w:r w:rsidR="003B4763" w:rsidRPr="001D4D8F">
        <w:rPr>
          <w:rFonts w:ascii="Verdana" w:eastAsia="Verdana" w:hAnsi="Verdana" w:cs="Verdana"/>
          <w:color w:val="000000"/>
        </w:rPr>
        <w:t>de las</w:t>
      </w:r>
      <w:r w:rsidRPr="001D4D8F">
        <w:rPr>
          <w:rFonts w:ascii="Verdana" w:eastAsia="Verdana" w:hAnsi="Verdana" w:cs="Verdana"/>
          <w:color w:val="000000"/>
        </w:rPr>
        <w:t xml:space="preserve"> emisiones de GEI generadas como consecuencia de sus operaciones misionales y económicas, en concordancia con los requisitos definidos en la presente resolución.</w:t>
      </w:r>
      <w:r>
        <w:rPr>
          <w:rFonts w:ascii="Verdana" w:eastAsia="Verdana" w:hAnsi="Verdana" w:cs="Verdana"/>
          <w:color w:val="000000"/>
        </w:rPr>
        <w:t xml:space="preserve"> </w:t>
      </w:r>
    </w:p>
    <w:p w14:paraId="3445CF93"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015A53C1" w14:textId="2AB8BC84" w:rsidR="00E03C7F" w:rsidRPr="00E03C7F" w:rsidRDefault="00880DC3" w:rsidP="00E03C7F">
      <w:pPr>
        <w:jc w:val="both"/>
        <w:rPr>
          <w:rFonts w:ascii="Verdana" w:eastAsia="Verdana" w:hAnsi="Verdana" w:cs="Verdana"/>
          <w:color w:val="000000"/>
          <w:lang w:val="es-CO"/>
        </w:rPr>
      </w:pPr>
      <w:r>
        <w:rPr>
          <w:rFonts w:ascii="Verdana" w:eastAsia="Verdana" w:hAnsi="Verdana" w:cs="Verdana"/>
          <w:b/>
          <w:bCs/>
          <w:color w:val="000000"/>
        </w:rPr>
        <w:t xml:space="preserve">Artículo </w:t>
      </w:r>
      <w:r w:rsidR="008C56F1">
        <w:rPr>
          <w:rFonts w:ascii="Verdana" w:eastAsia="Verdana" w:hAnsi="Verdana" w:cs="Verdana"/>
          <w:b/>
          <w:bCs/>
          <w:color w:val="000000"/>
        </w:rPr>
        <w:t>8</w:t>
      </w:r>
      <w:r>
        <w:rPr>
          <w:rFonts w:ascii="Verdana" w:eastAsia="Verdana" w:hAnsi="Verdana" w:cs="Verdana"/>
          <w:b/>
          <w:bCs/>
          <w:color w:val="000000"/>
        </w:rPr>
        <w:t>. Plataforma de Reporte Obligatorio de Emisiones (</w:t>
      </w:r>
      <w:r w:rsidR="00D36D7E">
        <w:rPr>
          <w:rFonts w:ascii="Verdana" w:eastAsia="Verdana" w:hAnsi="Verdana" w:cs="Verdana"/>
          <w:b/>
          <w:bCs/>
          <w:color w:val="000000"/>
        </w:rPr>
        <w:t xml:space="preserve">Plataforma </w:t>
      </w:r>
      <w:r>
        <w:rPr>
          <w:rFonts w:ascii="Verdana" w:eastAsia="Verdana" w:hAnsi="Verdana" w:cs="Verdana"/>
          <w:b/>
          <w:bCs/>
          <w:color w:val="000000"/>
        </w:rPr>
        <w:t>ROE)</w:t>
      </w:r>
      <w:r>
        <w:rPr>
          <w:rFonts w:ascii="Verdana" w:eastAsia="Verdana" w:hAnsi="Verdana" w:cs="Verdana"/>
          <w:color w:val="000000"/>
        </w:rPr>
        <w:t xml:space="preserve">. </w:t>
      </w:r>
      <w:r w:rsidR="00E03C7F" w:rsidRPr="00E03C7F">
        <w:rPr>
          <w:rFonts w:ascii="Verdana" w:eastAsia="Verdana" w:hAnsi="Verdana" w:cs="Verdana"/>
          <w:color w:val="000000"/>
          <w:lang w:val="es-CO"/>
        </w:rPr>
        <w:t>La Plataforma ROE, como parte del Sistema de Información Ambiental de Colombia (SIAC)</w:t>
      </w:r>
      <w:r w:rsidR="00765E52">
        <w:rPr>
          <w:rFonts w:ascii="Verdana" w:eastAsia="Verdana" w:hAnsi="Verdana" w:cs="Verdana"/>
          <w:color w:val="000000"/>
          <w:lang w:val="es-CO"/>
        </w:rPr>
        <w:t xml:space="preserve"> en el marco del Sistema de Información de Cambio Climático (SNICC)</w:t>
      </w:r>
      <w:r w:rsidR="00E03C7F" w:rsidRPr="00E03C7F">
        <w:rPr>
          <w:rFonts w:ascii="Verdana" w:eastAsia="Verdana" w:hAnsi="Verdana" w:cs="Verdana"/>
          <w:color w:val="000000"/>
          <w:lang w:val="es-CO"/>
        </w:rPr>
        <w:t xml:space="preserve">, es el </w:t>
      </w:r>
      <w:r w:rsidR="00E03C7F" w:rsidRPr="009A29D7">
        <w:rPr>
          <w:rFonts w:ascii="Verdana" w:eastAsia="Verdana" w:hAnsi="Verdana" w:cs="Verdana"/>
          <w:color w:val="000000"/>
          <w:lang w:val="es-CO"/>
        </w:rPr>
        <w:t>instrumento tecnológico</w:t>
      </w:r>
      <w:r w:rsidR="00E03C7F" w:rsidRPr="00E03C7F">
        <w:rPr>
          <w:rFonts w:ascii="Verdana" w:eastAsia="Verdana" w:hAnsi="Verdana" w:cs="Verdana"/>
          <w:color w:val="000000"/>
          <w:lang w:val="es-CO"/>
        </w:rPr>
        <w:t xml:space="preserve"> del Reporte Obligatorio de Emisiones (ROE), </w:t>
      </w:r>
      <w:r w:rsidR="00DC2F8F">
        <w:rPr>
          <w:rFonts w:ascii="Verdana" w:eastAsia="Verdana" w:hAnsi="Verdana" w:cs="Verdana"/>
          <w:color w:val="000000"/>
          <w:lang w:val="es-CO"/>
        </w:rPr>
        <w:t xml:space="preserve">administrada </w:t>
      </w:r>
      <w:r w:rsidR="00E03C7F" w:rsidRPr="00E03C7F">
        <w:rPr>
          <w:rFonts w:ascii="Verdana" w:eastAsia="Verdana" w:hAnsi="Verdana" w:cs="Verdana"/>
          <w:color w:val="000000"/>
          <w:lang w:val="es-CO"/>
        </w:rPr>
        <w:t>por el Ministerio de Ambiente y Desarrollo Sostenible.</w:t>
      </w:r>
    </w:p>
    <w:p w14:paraId="014BBE93" w14:textId="57D03198" w:rsidR="00E03C7F" w:rsidRPr="00E03C7F" w:rsidRDefault="00E03C7F" w:rsidP="00E03C7F">
      <w:pPr>
        <w:jc w:val="both"/>
        <w:rPr>
          <w:rFonts w:ascii="Verdana" w:eastAsia="Verdana" w:hAnsi="Verdana" w:cs="Verdana"/>
          <w:color w:val="000000"/>
          <w:lang w:val="es-CO"/>
        </w:rPr>
      </w:pPr>
      <w:r w:rsidRPr="00E03C7F">
        <w:rPr>
          <w:rFonts w:ascii="Verdana" w:eastAsia="Verdana" w:hAnsi="Verdana" w:cs="Verdana"/>
          <w:color w:val="000000"/>
          <w:lang w:val="es-CO"/>
        </w:rPr>
        <w:t xml:space="preserve">La plataforma ROE constituye el medio a través del cual se realiza la </w:t>
      </w:r>
      <w:r w:rsidRPr="009A29D7">
        <w:rPr>
          <w:rFonts w:ascii="Verdana" w:eastAsia="Verdana" w:hAnsi="Verdana" w:cs="Verdana"/>
          <w:color w:val="000000"/>
          <w:lang w:val="es-CO"/>
        </w:rPr>
        <w:t xml:space="preserve">captura, </w:t>
      </w:r>
      <w:r w:rsidRPr="001D4D8F">
        <w:rPr>
          <w:rFonts w:ascii="Verdana" w:eastAsia="Verdana" w:hAnsi="Verdana" w:cs="Verdana"/>
          <w:color w:val="000000"/>
          <w:lang w:val="es-CO"/>
        </w:rPr>
        <w:t>procesamiento</w:t>
      </w:r>
      <w:r w:rsidR="00FB5BC8" w:rsidRPr="001D4D8F">
        <w:rPr>
          <w:rFonts w:ascii="Verdana" w:eastAsia="Verdana" w:hAnsi="Verdana" w:cs="Verdana"/>
          <w:color w:val="000000"/>
          <w:lang w:val="es-CO"/>
        </w:rPr>
        <w:t xml:space="preserve"> y </w:t>
      </w:r>
      <w:r w:rsidRPr="001D4D8F">
        <w:rPr>
          <w:rFonts w:ascii="Verdana" w:eastAsia="Verdana" w:hAnsi="Verdana" w:cs="Verdana"/>
          <w:color w:val="000000"/>
          <w:lang w:val="es-CO"/>
        </w:rPr>
        <w:t>almacenamiento de la información sobre emisiones de gases de efecto invernadero (GEI), en el marco del ROE</w:t>
      </w:r>
      <w:r w:rsidR="00FB5BC8" w:rsidRPr="001D4D8F">
        <w:rPr>
          <w:rFonts w:ascii="Verdana" w:eastAsia="Verdana" w:hAnsi="Verdana" w:cs="Verdana"/>
          <w:color w:val="000000"/>
          <w:lang w:val="es-CO"/>
        </w:rPr>
        <w:t xml:space="preserve">, </w:t>
      </w:r>
      <w:r w:rsidR="00D047CB" w:rsidRPr="001D4D8F">
        <w:rPr>
          <w:rFonts w:ascii="Verdana" w:eastAsia="Verdana" w:hAnsi="Verdana" w:cs="Verdana"/>
          <w:color w:val="000000"/>
          <w:lang w:val="es-CO"/>
        </w:rPr>
        <w:t xml:space="preserve">facilitando </w:t>
      </w:r>
      <w:r w:rsidR="00EE06C0" w:rsidRPr="001D4D8F">
        <w:rPr>
          <w:rFonts w:ascii="Verdana" w:eastAsia="Verdana" w:hAnsi="Verdana" w:cs="Verdana"/>
          <w:color w:val="000000"/>
          <w:lang w:val="es-CO"/>
        </w:rPr>
        <w:t xml:space="preserve">el acceso a la información pública para </w:t>
      </w:r>
      <w:r w:rsidR="00D047CB" w:rsidRPr="001D4D8F">
        <w:rPr>
          <w:rFonts w:ascii="Verdana" w:eastAsia="Verdana" w:hAnsi="Verdana" w:cs="Verdana"/>
          <w:color w:val="000000"/>
          <w:lang w:val="es-CO"/>
        </w:rPr>
        <w:t>su divulgación</w:t>
      </w:r>
      <w:r w:rsidR="00C42068" w:rsidRPr="001D4D8F">
        <w:rPr>
          <w:rFonts w:ascii="Verdana" w:eastAsia="Verdana" w:hAnsi="Verdana" w:cs="Verdana"/>
          <w:color w:val="000000"/>
          <w:lang w:val="es-CO"/>
        </w:rPr>
        <w:t xml:space="preserve"> en los términos establecidos </w:t>
      </w:r>
      <w:r w:rsidR="00FB5F3B" w:rsidRPr="001D4D8F">
        <w:rPr>
          <w:rFonts w:ascii="Verdana" w:eastAsia="Verdana" w:hAnsi="Verdana" w:cs="Verdana"/>
          <w:color w:val="000000"/>
          <w:lang w:val="es-CO"/>
        </w:rPr>
        <w:t>en la Ley 17</w:t>
      </w:r>
      <w:r w:rsidR="004C5AF7" w:rsidRPr="001D4D8F">
        <w:rPr>
          <w:rFonts w:ascii="Verdana" w:eastAsia="Verdana" w:hAnsi="Verdana" w:cs="Verdana"/>
          <w:color w:val="000000"/>
          <w:lang w:val="es-CO"/>
        </w:rPr>
        <w:t>12 de 2014</w:t>
      </w:r>
      <w:r w:rsidR="00D047CB" w:rsidRPr="001D4D8F">
        <w:rPr>
          <w:rFonts w:ascii="Verdana" w:eastAsia="Verdana" w:hAnsi="Verdana" w:cs="Verdana"/>
          <w:color w:val="000000"/>
          <w:lang w:val="es-CO"/>
        </w:rPr>
        <w:t>.</w:t>
      </w:r>
    </w:p>
    <w:p w14:paraId="3445CF94" w14:textId="7B7A25D4" w:rsidR="000A3508" w:rsidRDefault="002776CC">
      <w:pPr>
        <w:jc w:val="both"/>
        <w:rPr>
          <w:rFonts w:ascii="Verdana" w:eastAsia="Verdana" w:hAnsi="Verdana" w:cs="Verdana"/>
          <w:color w:val="000000"/>
        </w:rPr>
      </w:pPr>
      <w:r>
        <w:rPr>
          <w:rFonts w:ascii="Verdana" w:eastAsia="Verdana" w:hAnsi="Verdana" w:cs="Verdana"/>
          <w:color w:val="000000"/>
        </w:rPr>
        <w:t>A través de l</w:t>
      </w:r>
      <w:r w:rsidR="00880DC3">
        <w:rPr>
          <w:rFonts w:ascii="Verdana" w:eastAsia="Verdana" w:hAnsi="Verdana" w:cs="Verdana"/>
          <w:color w:val="000000"/>
        </w:rPr>
        <w:t xml:space="preserve">a plataforma </w:t>
      </w:r>
      <w:r w:rsidR="00480A5C">
        <w:rPr>
          <w:rFonts w:ascii="Verdana" w:eastAsia="Verdana" w:hAnsi="Verdana" w:cs="Verdana"/>
          <w:color w:val="000000"/>
        </w:rPr>
        <w:t>ROE</w:t>
      </w:r>
      <w:r w:rsidR="00880DC3">
        <w:rPr>
          <w:rFonts w:ascii="Verdana" w:eastAsia="Verdana" w:hAnsi="Verdana" w:cs="Verdana"/>
          <w:color w:val="000000"/>
        </w:rPr>
        <w:t xml:space="preserve">, las personas jurídicas públicas, privadas o mixtas </w:t>
      </w:r>
      <w:r w:rsidR="002B441D">
        <w:rPr>
          <w:rFonts w:ascii="Verdana" w:eastAsia="Verdana" w:hAnsi="Verdana" w:cs="Verdana"/>
          <w:color w:val="000000"/>
        </w:rPr>
        <w:t>cumplirán</w:t>
      </w:r>
      <w:r w:rsidR="00880DC3">
        <w:rPr>
          <w:rFonts w:ascii="Verdana" w:eastAsia="Verdana" w:hAnsi="Verdana" w:cs="Verdana"/>
          <w:color w:val="000000"/>
        </w:rPr>
        <w:t xml:space="preserve"> con la obligación de </w:t>
      </w:r>
      <w:r w:rsidR="007208FF">
        <w:rPr>
          <w:rFonts w:ascii="Verdana" w:eastAsia="Verdana" w:hAnsi="Verdana" w:cs="Verdana"/>
          <w:color w:val="000000"/>
        </w:rPr>
        <w:t xml:space="preserve">cuantificación, consolidación y </w:t>
      </w:r>
      <w:r w:rsidR="00880DC3">
        <w:rPr>
          <w:rFonts w:ascii="Verdana" w:eastAsia="Verdana" w:hAnsi="Verdana" w:cs="Verdana"/>
          <w:color w:val="000000"/>
        </w:rPr>
        <w:t xml:space="preserve">reporte de las emisiones directas e indirectas de GEI y la entrega de la información y documentación </w:t>
      </w:r>
      <w:r w:rsidR="00263D90">
        <w:rPr>
          <w:rFonts w:ascii="Verdana" w:eastAsia="Verdana" w:hAnsi="Verdana" w:cs="Verdana"/>
          <w:color w:val="000000"/>
        </w:rPr>
        <w:t>utilizada para la elaboración del inventario de emisiones de GEI en</w:t>
      </w:r>
      <w:r w:rsidR="00956B2D">
        <w:rPr>
          <w:rFonts w:ascii="Verdana" w:eastAsia="Verdana" w:hAnsi="Verdana" w:cs="Verdana"/>
          <w:color w:val="000000"/>
        </w:rPr>
        <w:t xml:space="preserve"> el periodo de reporte</w:t>
      </w:r>
      <w:r w:rsidR="00880DC3">
        <w:rPr>
          <w:rFonts w:ascii="Verdana" w:eastAsia="Verdana" w:hAnsi="Verdana" w:cs="Verdana"/>
          <w:color w:val="000000"/>
        </w:rPr>
        <w:t>.</w:t>
      </w:r>
    </w:p>
    <w:p w14:paraId="3445CF96" w14:textId="7F3F1C5D" w:rsidR="000A3508" w:rsidRDefault="00880DC3">
      <w:pPr>
        <w:jc w:val="both"/>
        <w:rPr>
          <w:rFonts w:ascii="Verdana" w:eastAsia="Verdana" w:hAnsi="Verdana" w:cs="Verdana"/>
          <w:color w:val="000000"/>
        </w:rPr>
      </w:pPr>
      <w:r>
        <w:rPr>
          <w:rFonts w:ascii="Verdana" w:eastAsia="Verdana" w:hAnsi="Verdana" w:cs="Verdana"/>
          <w:b/>
          <w:bCs/>
          <w:color w:val="000000"/>
        </w:rPr>
        <w:t xml:space="preserve">Artículo </w:t>
      </w:r>
      <w:r w:rsidR="007B39A6">
        <w:rPr>
          <w:rFonts w:ascii="Verdana" w:eastAsia="Verdana" w:hAnsi="Verdana" w:cs="Verdana"/>
          <w:b/>
          <w:bCs/>
          <w:color w:val="000000"/>
        </w:rPr>
        <w:t>9</w:t>
      </w:r>
      <w:r>
        <w:rPr>
          <w:rFonts w:ascii="Verdana" w:eastAsia="Verdana" w:hAnsi="Verdana" w:cs="Verdana"/>
          <w:b/>
          <w:bCs/>
          <w:color w:val="000000"/>
        </w:rPr>
        <w:t>. Personas jurídicas obligadas a reportar las emisiones de GEI al ROE.</w:t>
      </w:r>
      <w:r>
        <w:rPr>
          <w:rFonts w:ascii="Verdana" w:eastAsia="Verdana" w:hAnsi="Verdana" w:cs="Verdana"/>
          <w:color w:val="000000"/>
        </w:rPr>
        <w:t xml:space="preserve"> Las personas jurídicas públicas, privadas o mixtas que cumplan con los criterios indicados en la sección 2 de la presente resolución, estarán obligadas a cuantificar y reportar sus emisiones de GEI en la plataforma ROE de conformidad con el Protocolo de Cuantificación y Reporte de GEI</w:t>
      </w:r>
      <w:r w:rsidR="00332999">
        <w:rPr>
          <w:rFonts w:ascii="Verdana" w:eastAsia="Verdana" w:hAnsi="Verdana" w:cs="Verdana"/>
          <w:color w:val="000000"/>
        </w:rPr>
        <w:t xml:space="preserve"> (Protocolo ROE)</w:t>
      </w:r>
      <w:r>
        <w:rPr>
          <w:rFonts w:ascii="Verdana" w:eastAsia="Verdana" w:hAnsi="Verdana" w:cs="Verdana"/>
          <w:color w:val="000000"/>
        </w:rPr>
        <w:t xml:space="preserve"> al que se refiere el Artículo 1</w:t>
      </w:r>
      <w:r w:rsidR="00867EEE">
        <w:rPr>
          <w:rFonts w:ascii="Verdana" w:eastAsia="Verdana" w:hAnsi="Verdana" w:cs="Verdana"/>
          <w:color w:val="000000"/>
        </w:rPr>
        <w:t>7</w:t>
      </w:r>
      <w:r>
        <w:rPr>
          <w:rFonts w:ascii="Verdana" w:eastAsia="Verdana" w:hAnsi="Verdana" w:cs="Verdana"/>
          <w:color w:val="000000"/>
        </w:rPr>
        <w:t xml:space="preserve"> de la presente Resolución.</w:t>
      </w:r>
    </w:p>
    <w:p w14:paraId="196E97A8" w14:textId="3330194B" w:rsidR="002F5A56" w:rsidRPr="00BF0D30" w:rsidRDefault="004B7929" w:rsidP="00C32F7D">
      <w:pPr>
        <w:jc w:val="both"/>
        <w:rPr>
          <w:rFonts w:ascii="Verdana" w:eastAsia="Verdana" w:hAnsi="Verdana" w:cs="Verdana"/>
        </w:rPr>
      </w:pPr>
      <w:r w:rsidRPr="00BF0D30">
        <w:rPr>
          <w:rFonts w:ascii="Verdana" w:eastAsia="Verdana" w:hAnsi="Verdana" w:cs="Verdana"/>
          <w:b/>
          <w:bCs/>
        </w:rPr>
        <w:t>Parágrafo</w:t>
      </w:r>
      <w:r w:rsidR="00F53464" w:rsidRPr="00BF0D30">
        <w:rPr>
          <w:rFonts w:ascii="Verdana" w:eastAsia="Verdana" w:hAnsi="Verdana" w:cs="Verdana"/>
          <w:b/>
          <w:bCs/>
        </w:rPr>
        <w:t xml:space="preserve"> 1</w:t>
      </w:r>
      <w:r w:rsidRPr="00BF0D30">
        <w:rPr>
          <w:rFonts w:ascii="Verdana" w:eastAsia="Verdana" w:hAnsi="Verdana" w:cs="Verdana"/>
          <w:b/>
          <w:bCs/>
        </w:rPr>
        <w:t>.</w:t>
      </w:r>
      <w:r w:rsidRPr="00BF0D30">
        <w:rPr>
          <w:rFonts w:ascii="Verdana" w:eastAsia="Verdana" w:hAnsi="Verdana" w:cs="Verdana"/>
        </w:rPr>
        <w:t xml:space="preserve"> </w:t>
      </w:r>
      <w:r w:rsidR="00E629DE" w:rsidRPr="00BF0D30">
        <w:rPr>
          <w:rFonts w:ascii="Verdana" w:eastAsia="Verdana" w:hAnsi="Verdana" w:cs="Verdana"/>
        </w:rPr>
        <w:t>La</w:t>
      </w:r>
      <w:r w:rsidR="00F0743D" w:rsidRPr="00BF0D30">
        <w:rPr>
          <w:rFonts w:ascii="Verdana" w:eastAsia="Verdana" w:hAnsi="Verdana" w:cs="Verdana"/>
        </w:rPr>
        <w:t>s</w:t>
      </w:r>
      <w:r w:rsidR="006F2E83" w:rsidRPr="00BF0D30">
        <w:rPr>
          <w:rFonts w:ascii="Verdana" w:eastAsia="Verdana" w:hAnsi="Verdana" w:cs="Verdana"/>
        </w:rPr>
        <w:t xml:space="preserve"> persona</w:t>
      </w:r>
      <w:r w:rsidR="00F0743D" w:rsidRPr="00BF0D30">
        <w:rPr>
          <w:rFonts w:ascii="Verdana" w:eastAsia="Verdana" w:hAnsi="Verdana" w:cs="Verdana"/>
        </w:rPr>
        <w:t>s</w:t>
      </w:r>
      <w:r w:rsidR="006F2E83" w:rsidRPr="00BF0D30">
        <w:rPr>
          <w:rFonts w:ascii="Verdana" w:eastAsia="Verdana" w:hAnsi="Verdana" w:cs="Verdana"/>
        </w:rPr>
        <w:t xml:space="preserve"> jurídica</w:t>
      </w:r>
      <w:r w:rsidR="00F0743D" w:rsidRPr="00BF0D30">
        <w:rPr>
          <w:rFonts w:ascii="Verdana" w:eastAsia="Verdana" w:hAnsi="Verdana" w:cs="Verdana"/>
        </w:rPr>
        <w:t>s privadas</w:t>
      </w:r>
      <w:r w:rsidR="006170D4" w:rsidRPr="00BF0D30">
        <w:rPr>
          <w:rFonts w:ascii="Verdana" w:eastAsia="Verdana" w:hAnsi="Verdana" w:cs="Verdana"/>
        </w:rPr>
        <w:t xml:space="preserve"> que estén obligados a reportar información en el Registro Único de Beneficiarios Finales (RUB)</w:t>
      </w:r>
      <w:r w:rsidR="00C07FA8" w:rsidRPr="00BF0D30">
        <w:rPr>
          <w:rFonts w:ascii="Verdana" w:eastAsia="Verdana" w:hAnsi="Verdana" w:cs="Verdana"/>
        </w:rPr>
        <w:t xml:space="preserve">, de conformidad con la normativa vigente, que pertenezcan a un mismo </w:t>
      </w:r>
      <w:r w:rsidR="0003562D" w:rsidRPr="00BF0D30">
        <w:rPr>
          <w:rFonts w:ascii="Verdana" w:eastAsia="Verdana" w:hAnsi="Verdana" w:cs="Verdana"/>
        </w:rPr>
        <w:t>B</w:t>
      </w:r>
      <w:r w:rsidR="00C07FA8" w:rsidRPr="00BF0D30">
        <w:rPr>
          <w:rFonts w:ascii="Verdana" w:eastAsia="Verdana" w:hAnsi="Verdana" w:cs="Verdana"/>
        </w:rPr>
        <w:t xml:space="preserve">eneficiario </w:t>
      </w:r>
      <w:r w:rsidR="0003562D" w:rsidRPr="00BF0D30">
        <w:rPr>
          <w:rFonts w:ascii="Verdana" w:eastAsia="Verdana" w:hAnsi="Verdana" w:cs="Verdana"/>
        </w:rPr>
        <w:t>F</w:t>
      </w:r>
      <w:r w:rsidR="00C07FA8" w:rsidRPr="00BF0D30">
        <w:rPr>
          <w:rFonts w:ascii="Verdana" w:eastAsia="Verdana" w:hAnsi="Verdana" w:cs="Verdana"/>
        </w:rPr>
        <w:t xml:space="preserve">inal, </w:t>
      </w:r>
      <w:r w:rsidR="000569AA" w:rsidRPr="00BF0D30">
        <w:rPr>
          <w:rFonts w:ascii="Verdana" w:eastAsia="Verdana" w:hAnsi="Verdana" w:cs="Verdana"/>
        </w:rPr>
        <w:t>deberán revisar el nivel de emisiones al que hace referencia</w:t>
      </w:r>
      <w:r w:rsidR="00E542E4" w:rsidRPr="00BF0D30">
        <w:rPr>
          <w:rFonts w:ascii="Verdana" w:eastAsia="Verdana" w:hAnsi="Verdana" w:cs="Verdana"/>
        </w:rPr>
        <w:t xml:space="preserve"> los artículos 12 y 2</w:t>
      </w:r>
      <w:r w:rsidR="00867EEE" w:rsidRPr="00BF0D30">
        <w:rPr>
          <w:rFonts w:ascii="Verdana" w:eastAsia="Verdana" w:hAnsi="Verdana" w:cs="Verdana"/>
        </w:rPr>
        <w:t>3</w:t>
      </w:r>
      <w:r w:rsidR="00736206" w:rsidRPr="00BF0D30">
        <w:rPr>
          <w:rFonts w:ascii="Verdana" w:eastAsia="Verdana" w:hAnsi="Verdana" w:cs="Verdana"/>
        </w:rPr>
        <w:t xml:space="preserve"> de la presente Resolución</w:t>
      </w:r>
      <w:r w:rsidR="00BB3E0B" w:rsidRPr="00BF0D30">
        <w:rPr>
          <w:rFonts w:ascii="Verdana" w:eastAsia="Verdana" w:hAnsi="Verdana" w:cs="Verdana"/>
        </w:rPr>
        <w:t xml:space="preserve">. </w:t>
      </w:r>
    </w:p>
    <w:p w14:paraId="68ECBCF9" w14:textId="12300BB4" w:rsidR="00B17DEC" w:rsidRPr="00BF0D30" w:rsidRDefault="00BB3E0B" w:rsidP="00C32F7D">
      <w:pPr>
        <w:jc w:val="both"/>
        <w:rPr>
          <w:rFonts w:ascii="Verdana" w:eastAsia="Verdana" w:hAnsi="Verdana" w:cs="Verdana"/>
        </w:rPr>
      </w:pPr>
      <w:r w:rsidRPr="00BF0D30">
        <w:rPr>
          <w:rFonts w:ascii="Verdana" w:eastAsia="Verdana" w:hAnsi="Verdana" w:cs="Verdana"/>
        </w:rPr>
        <w:t xml:space="preserve">Si al </w:t>
      </w:r>
      <w:r w:rsidR="00BF30C5" w:rsidRPr="00BF0D30">
        <w:rPr>
          <w:rFonts w:ascii="Verdana" w:eastAsia="Verdana" w:hAnsi="Verdana" w:cs="Verdana"/>
        </w:rPr>
        <w:t>suma</w:t>
      </w:r>
      <w:r w:rsidR="000F3A8D" w:rsidRPr="00BF0D30">
        <w:rPr>
          <w:rFonts w:ascii="Verdana" w:eastAsia="Verdana" w:hAnsi="Verdana" w:cs="Verdana"/>
        </w:rPr>
        <w:t>r sus emisiones consolidadas</w:t>
      </w:r>
      <w:r w:rsidR="00FC362F" w:rsidRPr="00BF0D30">
        <w:rPr>
          <w:rFonts w:ascii="Verdana" w:eastAsia="Verdana" w:hAnsi="Verdana" w:cs="Verdana"/>
        </w:rPr>
        <w:t xml:space="preserve">, </w:t>
      </w:r>
      <w:r w:rsidR="0067573C" w:rsidRPr="00BF0D30">
        <w:rPr>
          <w:rFonts w:ascii="Verdana" w:eastAsia="Verdana" w:hAnsi="Verdana" w:cs="Verdana"/>
        </w:rPr>
        <w:t>los val</w:t>
      </w:r>
      <w:r w:rsidR="00D2543E" w:rsidRPr="00BF0D30">
        <w:rPr>
          <w:rFonts w:ascii="Verdana" w:eastAsia="Verdana" w:hAnsi="Verdana" w:cs="Verdana"/>
        </w:rPr>
        <w:t>ores superan los niveles de emisión al que hace referencia</w:t>
      </w:r>
      <w:r w:rsidR="00F20449" w:rsidRPr="00BF0D30">
        <w:rPr>
          <w:rFonts w:ascii="Verdana" w:eastAsia="Verdana" w:hAnsi="Verdana" w:cs="Verdana"/>
        </w:rPr>
        <w:t xml:space="preserve"> el a</w:t>
      </w:r>
      <w:r w:rsidR="00D2543E" w:rsidRPr="00BF0D30">
        <w:rPr>
          <w:rFonts w:ascii="Verdana" w:eastAsia="Verdana" w:hAnsi="Verdana" w:cs="Verdana"/>
        </w:rPr>
        <w:t>rtículo 12</w:t>
      </w:r>
      <w:r w:rsidR="00F20449" w:rsidRPr="00BF0D30">
        <w:rPr>
          <w:rFonts w:ascii="Verdana" w:eastAsia="Verdana" w:hAnsi="Verdana" w:cs="Verdana"/>
        </w:rPr>
        <w:t xml:space="preserve"> de la presente Resolución, cada persona jurídica deberá cuantificar y reportar en el ROE de acuerdo con los requisitos exigidos. </w:t>
      </w:r>
      <w:r w:rsidR="00B17DEC" w:rsidRPr="00BF0D30">
        <w:rPr>
          <w:rFonts w:ascii="Verdana" w:eastAsia="Verdana" w:hAnsi="Verdana" w:cs="Verdana"/>
        </w:rPr>
        <w:t>En estos casos, la verificación de las emisiones a que se refiere el artículo 23, se realizará con base en valor de las emisiones consolidadas.</w:t>
      </w:r>
    </w:p>
    <w:p w14:paraId="449006CD" w14:textId="3FE4B935" w:rsidR="005D2005" w:rsidRPr="00BF0D30" w:rsidRDefault="00F53464" w:rsidP="00C32F7D">
      <w:pPr>
        <w:jc w:val="both"/>
        <w:rPr>
          <w:rFonts w:ascii="Verdana" w:eastAsia="Verdana" w:hAnsi="Verdana" w:cs="Verdana"/>
        </w:rPr>
      </w:pPr>
      <w:r w:rsidRPr="00BF0D30">
        <w:rPr>
          <w:rFonts w:ascii="Verdana" w:eastAsia="Verdana" w:hAnsi="Verdana" w:cs="Verdana"/>
          <w:b/>
          <w:bCs/>
        </w:rPr>
        <w:t>Parágrafo 2.</w:t>
      </w:r>
      <w:r w:rsidRPr="00BF0D30">
        <w:rPr>
          <w:rFonts w:ascii="Verdana" w:eastAsia="Verdana" w:hAnsi="Verdana" w:cs="Verdana"/>
        </w:rPr>
        <w:t xml:space="preserve"> </w:t>
      </w:r>
      <w:r w:rsidR="006221B1" w:rsidRPr="00BF0D30">
        <w:rPr>
          <w:rFonts w:ascii="Verdana" w:eastAsia="Verdana" w:hAnsi="Verdana" w:cs="Verdana"/>
        </w:rPr>
        <w:t xml:space="preserve">Las personas jurídicas privadas, </w:t>
      </w:r>
      <w:r w:rsidR="000D48EA" w:rsidRPr="00BF0D30">
        <w:rPr>
          <w:rFonts w:ascii="Verdana" w:eastAsia="Verdana" w:hAnsi="Verdana" w:cs="Verdana"/>
        </w:rPr>
        <w:t xml:space="preserve">que </w:t>
      </w:r>
      <w:r w:rsidR="00426BBA" w:rsidRPr="00BF0D30">
        <w:rPr>
          <w:rFonts w:ascii="Verdana" w:eastAsia="Verdana" w:hAnsi="Verdana" w:cs="Verdana"/>
        </w:rPr>
        <w:t>estén</w:t>
      </w:r>
      <w:r w:rsidR="000D48EA" w:rsidRPr="00BF0D30">
        <w:rPr>
          <w:rFonts w:ascii="Verdana" w:eastAsia="Verdana" w:hAnsi="Verdana" w:cs="Verdana"/>
        </w:rPr>
        <w:t xml:space="preserve"> obligados a </w:t>
      </w:r>
      <w:r w:rsidR="00426BBA" w:rsidRPr="00BF0D30">
        <w:rPr>
          <w:rFonts w:ascii="Verdana" w:eastAsia="Verdana" w:hAnsi="Verdana" w:cs="Verdana"/>
        </w:rPr>
        <w:t>reportar información en el Registro Único de Beneficiarios Final</w:t>
      </w:r>
      <w:r w:rsidR="005D2005" w:rsidRPr="00BF0D30">
        <w:rPr>
          <w:rFonts w:ascii="Verdana" w:eastAsia="Verdana" w:hAnsi="Verdana" w:cs="Verdana"/>
        </w:rPr>
        <w:t>es</w:t>
      </w:r>
      <w:r w:rsidR="00426BBA" w:rsidRPr="00BF0D30">
        <w:rPr>
          <w:rFonts w:ascii="Verdana" w:eastAsia="Verdana" w:hAnsi="Verdana" w:cs="Verdana"/>
        </w:rPr>
        <w:t xml:space="preserve"> (RUB), de conformidad con la normativa vigente, </w:t>
      </w:r>
      <w:r w:rsidR="006221B1" w:rsidRPr="00BF0D30">
        <w:rPr>
          <w:rFonts w:ascii="Verdana" w:eastAsia="Verdana" w:hAnsi="Verdana" w:cs="Verdana"/>
        </w:rPr>
        <w:t>deberán re</w:t>
      </w:r>
      <w:r w:rsidR="00EF4297" w:rsidRPr="00BF0D30">
        <w:rPr>
          <w:rFonts w:ascii="Verdana" w:eastAsia="Verdana" w:hAnsi="Verdana" w:cs="Verdana"/>
        </w:rPr>
        <w:t>gistrar</w:t>
      </w:r>
      <w:r w:rsidR="006221B1" w:rsidRPr="00BF0D30">
        <w:rPr>
          <w:rFonts w:ascii="Verdana" w:eastAsia="Verdana" w:hAnsi="Verdana" w:cs="Verdana"/>
        </w:rPr>
        <w:t xml:space="preserve"> en la Plataforma ROE</w:t>
      </w:r>
      <w:r w:rsidR="002D5012" w:rsidRPr="00BF0D30">
        <w:rPr>
          <w:rFonts w:ascii="Verdana" w:eastAsia="Verdana" w:hAnsi="Verdana" w:cs="Verdana"/>
        </w:rPr>
        <w:t>, la información del Beneficiario Final al que hace referencia el artículo 631-5 del Estatuto Tributario o aquel que lo modifique o sustituya, lo que incluye, los nombres completos y apellidos de los beneficiarios, sus números de identificación y los porcentajes de participación en el capital</w:t>
      </w:r>
      <w:r w:rsidR="00C32F7D" w:rsidRPr="00BF0D30">
        <w:rPr>
          <w:rFonts w:ascii="Verdana" w:eastAsia="Verdana" w:hAnsi="Verdana" w:cs="Verdana"/>
        </w:rPr>
        <w:t xml:space="preserve">. </w:t>
      </w:r>
    </w:p>
    <w:p w14:paraId="6D5A55A1" w14:textId="44A2039D" w:rsidR="00E849F8" w:rsidRPr="00BF0D30" w:rsidRDefault="00F53464" w:rsidP="00C32F7D">
      <w:pPr>
        <w:jc w:val="both"/>
        <w:rPr>
          <w:rFonts w:ascii="Verdana" w:eastAsia="Verdana" w:hAnsi="Verdana" w:cs="Verdana"/>
        </w:rPr>
      </w:pPr>
      <w:r w:rsidRPr="00BF0D30">
        <w:rPr>
          <w:rFonts w:ascii="Verdana" w:eastAsia="Verdana" w:hAnsi="Verdana" w:cs="Verdana"/>
          <w:b/>
          <w:bCs/>
        </w:rPr>
        <w:lastRenderedPageBreak/>
        <w:t>Parágrafo 3.</w:t>
      </w:r>
      <w:r w:rsidRPr="00BF0D30">
        <w:rPr>
          <w:rFonts w:ascii="Verdana" w:eastAsia="Verdana" w:hAnsi="Verdana" w:cs="Verdana"/>
        </w:rPr>
        <w:t xml:space="preserve"> </w:t>
      </w:r>
      <w:r w:rsidR="00C32F7D" w:rsidRPr="00BF0D30">
        <w:rPr>
          <w:rFonts w:ascii="Verdana" w:eastAsia="Verdana" w:hAnsi="Verdana" w:cs="Verdana"/>
        </w:rPr>
        <w:t>E</w:t>
      </w:r>
      <w:r w:rsidR="00E849F8" w:rsidRPr="00BF0D30">
        <w:rPr>
          <w:rFonts w:ascii="Verdana" w:eastAsia="Verdana" w:hAnsi="Verdana" w:cs="Verdana"/>
        </w:rPr>
        <w:t xml:space="preserve">l Ministerio de Ambiente y Desarrollo Sostenible </w:t>
      </w:r>
      <w:r w:rsidR="00F46287" w:rsidRPr="00BF0D30">
        <w:rPr>
          <w:rFonts w:ascii="Verdana" w:eastAsia="Verdana" w:hAnsi="Verdana" w:cs="Verdana"/>
        </w:rPr>
        <w:t>revisará</w:t>
      </w:r>
      <w:r w:rsidR="00E849F8" w:rsidRPr="00BF0D30">
        <w:rPr>
          <w:rFonts w:ascii="Verdana" w:eastAsia="Verdana" w:hAnsi="Verdana" w:cs="Verdana"/>
        </w:rPr>
        <w:t xml:space="preserve"> el cumplimiento de los requisitos establecidos en los parágrafos 1 y 2 para las personas jurídicas obligad</w:t>
      </w:r>
      <w:r w:rsidR="00F46287" w:rsidRPr="00BF0D30">
        <w:rPr>
          <w:rFonts w:ascii="Verdana" w:eastAsia="Verdana" w:hAnsi="Verdana" w:cs="Verdana"/>
        </w:rPr>
        <w:t>a</w:t>
      </w:r>
      <w:r w:rsidR="00E849F8" w:rsidRPr="00BF0D30">
        <w:rPr>
          <w:rFonts w:ascii="Verdana" w:eastAsia="Verdana" w:hAnsi="Verdana" w:cs="Verdana"/>
        </w:rPr>
        <w:t xml:space="preserve">s a reportar información en el Registro Único de Beneficiarios Finales (RUB), y podrá exigir </w:t>
      </w:r>
      <w:r w:rsidR="00F46287" w:rsidRPr="00BF0D30">
        <w:rPr>
          <w:rFonts w:ascii="Verdana" w:eastAsia="Verdana" w:hAnsi="Verdana" w:cs="Verdana"/>
        </w:rPr>
        <w:t>la presentación d</w:t>
      </w:r>
      <w:r w:rsidR="00E849F8" w:rsidRPr="00BF0D30">
        <w:rPr>
          <w:rFonts w:ascii="Verdana" w:eastAsia="Verdana" w:hAnsi="Verdana" w:cs="Verdana"/>
        </w:rPr>
        <w:t>el reporte conforme a los requisitos aplicables</w:t>
      </w:r>
      <w:r w:rsidR="00F46287" w:rsidRPr="00BF0D30">
        <w:rPr>
          <w:rFonts w:ascii="Verdana" w:eastAsia="Verdana" w:hAnsi="Verdana" w:cs="Verdana"/>
        </w:rPr>
        <w:t>, sin perjuicio de las sanciones a que haya lugar.</w:t>
      </w:r>
    </w:p>
    <w:p w14:paraId="3445CF97" w14:textId="582E2D75"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0</w:t>
      </w:r>
      <w:r w:rsidRPr="00004DD2">
        <w:rPr>
          <w:rFonts w:ascii="Verdana" w:eastAsia="Verdana" w:hAnsi="Verdana" w:cs="Verdana"/>
          <w:b/>
          <w:bCs/>
          <w:color w:val="000000"/>
        </w:rPr>
        <w:t>. Objetivos del Reporte Obligatorio</w:t>
      </w:r>
      <w:r>
        <w:rPr>
          <w:rFonts w:ascii="Verdana" w:eastAsia="Verdana" w:hAnsi="Verdana" w:cs="Verdana"/>
          <w:b/>
          <w:bCs/>
          <w:color w:val="000000"/>
        </w:rPr>
        <w:t xml:space="preserve"> de Emisiones (ROE)</w:t>
      </w:r>
      <w:r>
        <w:rPr>
          <w:rFonts w:ascii="Verdana" w:eastAsia="Verdana" w:hAnsi="Verdana" w:cs="Verdana"/>
          <w:color w:val="000000"/>
        </w:rPr>
        <w:t xml:space="preserve">. El ROE como parte del Sistema de Información Ambiental para Colombia </w:t>
      </w:r>
      <w:r w:rsidR="000D6789">
        <w:rPr>
          <w:rFonts w:ascii="Verdana" w:eastAsia="Verdana" w:hAnsi="Verdana" w:cs="Verdana"/>
          <w:color w:val="000000"/>
        </w:rPr>
        <w:t>(</w:t>
      </w:r>
      <w:r>
        <w:rPr>
          <w:rFonts w:ascii="Verdana" w:eastAsia="Verdana" w:hAnsi="Verdana" w:cs="Verdana"/>
          <w:color w:val="000000"/>
        </w:rPr>
        <w:t>SIAC</w:t>
      </w:r>
      <w:r w:rsidR="000D6789">
        <w:rPr>
          <w:rFonts w:ascii="Verdana" w:eastAsia="Verdana" w:hAnsi="Verdana" w:cs="Verdana"/>
          <w:color w:val="000000"/>
        </w:rPr>
        <w:t>)</w:t>
      </w:r>
      <w:r>
        <w:rPr>
          <w:rFonts w:ascii="Verdana" w:eastAsia="Verdana" w:hAnsi="Verdana" w:cs="Verdana"/>
          <w:color w:val="000000"/>
        </w:rPr>
        <w:t xml:space="preserve">, </w:t>
      </w:r>
      <w:r w:rsidR="00CB235F">
        <w:rPr>
          <w:rFonts w:ascii="Verdana" w:eastAsia="Verdana" w:hAnsi="Verdana" w:cs="Verdana"/>
          <w:color w:val="000000"/>
        </w:rPr>
        <w:t xml:space="preserve">en el marco del SINCC, </w:t>
      </w:r>
      <w:r>
        <w:rPr>
          <w:rFonts w:ascii="Verdana" w:eastAsia="Verdana" w:hAnsi="Verdana" w:cs="Verdana"/>
          <w:color w:val="000000"/>
        </w:rPr>
        <w:t xml:space="preserve">tiene como </w:t>
      </w:r>
      <w:sdt>
        <w:sdtPr>
          <w:tag w:val="goog_rdk_80"/>
          <w:id w:val="-404954416"/>
        </w:sdtPr>
        <w:sdtContent/>
      </w:sdt>
      <w:r>
        <w:rPr>
          <w:rFonts w:ascii="Verdana" w:eastAsia="Verdana" w:hAnsi="Verdana" w:cs="Verdana"/>
          <w:color w:val="000000"/>
        </w:rPr>
        <w:t>objetivos:</w:t>
      </w:r>
    </w:p>
    <w:p w14:paraId="3445CF98"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99" w14:textId="23D53A4D" w:rsidR="000A3508" w:rsidRDefault="00880DC3">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Recopilar </w:t>
      </w:r>
      <w:r w:rsidR="00CF2C22">
        <w:rPr>
          <w:rFonts w:ascii="Verdana" w:eastAsia="Verdana" w:hAnsi="Verdana" w:cs="Verdana"/>
          <w:color w:val="000000"/>
        </w:rPr>
        <w:t xml:space="preserve">de manera estandarizada, estructurada y organizada, la </w:t>
      </w:r>
      <w:r>
        <w:rPr>
          <w:rFonts w:ascii="Verdana" w:eastAsia="Verdana" w:hAnsi="Verdana" w:cs="Verdana"/>
          <w:color w:val="000000"/>
        </w:rPr>
        <w:t>información sobre las emisiones de gases de efecto invernadero (GEI) generadas por las personas jurídicas públicas, privadas o mixtas</w:t>
      </w:r>
      <w:r w:rsidR="00852EC7" w:rsidRPr="00852EC7">
        <w:t xml:space="preserve"> </w:t>
      </w:r>
      <w:r w:rsidR="00852EC7" w:rsidRPr="00852EC7">
        <w:rPr>
          <w:rFonts w:ascii="Verdana" w:eastAsia="Verdana" w:hAnsi="Verdana" w:cs="Verdana"/>
          <w:color w:val="000000"/>
        </w:rPr>
        <w:t>obligadas a reportar</w:t>
      </w:r>
      <w:r>
        <w:rPr>
          <w:rFonts w:ascii="Verdana" w:eastAsia="Verdana" w:hAnsi="Verdana" w:cs="Verdana"/>
          <w:color w:val="000000"/>
        </w:rPr>
        <w:t xml:space="preserve"> que operan en el territorio nacional</w:t>
      </w:r>
      <w:r w:rsidR="002001CD">
        <w:rPr>
          <w:rFonts w:ascii="Verdana" w:eastAsia="Verdana" w:hAnsi="Verdana" w:cs="Verdana"/>
          <w:color w:val="000000"/>
        </w:rPr>
        <w:t>.</w:t>
      </w:r>
    </w:p>
    <w:p w14:paraId="3445CF9A" w14:textId="462A6806" w:rsidR="000A3508" w:rsidRDefault="00880DC3">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Consolidar</w:t>
      </w:r>
      <w:r w:rsidR="00D31D33">
        <w:rPr>
          <w:rFonts w:ascii="Verdana" w:eastAsia="Verdana" w:hAnsi="Verdana" w:cs="Verdana"/>
          <w:color w:val="000000"/>
        </w:rPr>
        <w:t xml:space="preserve"> y analizar la</w:t>
      </w:r>
      <w:r>
        <w:rPr>
          <w:rFonts w:ascii="Verdana" w:eastAsia="Verdana" w:hAnsi="Verdana" w:cs="Verdana"/>
          <w:color w:val="000000"/>
        </w:rPr>
        <w:t xml:space="preserve"> información sobre las emisiones de </w:t>
      </w:r>
      <w:r w:rsidR="004C24D4">
        <w:rPr>
          <w:rFonts w:ascii="Verdana" w:eastAsia="Verdana" w:hAnsi="Verdana" w:cs="Verdana"/>
          <w:color w:val="000000"/>
        </w:rPr>
        <w:t>GEI</w:t>
      </w:r>
      <w:r>
        <w:rPr>
          <w:rFonts w:ascii="Verdana" w:eastAsia="Verdana" w:hAnsi="Verdana" w:cs="Verdana"/>
          <w:color w:val="000000"/>
        </w:rPr>
        <w:t xml:space="preserve"> generadas en el país por las personas jurídicas públicas, privadas o mixtas</w:t>
      </w:r>
      <w:r w:rsidR="00852EC7" w:rsidRPr="00852EC7">
        <w:rPr>
          <w:rFonts w:ascii="Verdana" w:eastAsia="Verdana" w:hAnsi="Verdana" w:cs="Verdana"/>
          <w:color w:val="000000"/>
        </w:rPr>
        <w:t xml:space="preserve"> obligadas a reportar</w:t>
      </w:r>
      <w:r>
        <w:rPr>
          <w:rFonts w:ascii="Verdana" w:eastAsia="Verdana" w:hAnsi="Verdana" w:cs="Verdana"/>
          <w:color w:val="000000"/>
        </w:rPr>
        <w:t xml:space="preserve">, como base para la toma de decisiones relacionadas con la gestión de la mitigación de GEI, en especial en lo asociado al Programa Nacional de Cupos Transables de Emisión </w:t>
      </w:r>
      <w:r w:rsidR="00715A0A">
        <w:rPr>
          <w:rFonts w:ascii="Verdana" w:eastAsia="Verdana" w:hAnsi="Verdana" w:cs="Verdana"/>
          <w:color w:val="000000"/>
        </w:rPr>
        <w:t>de GEI</w:t>
      </w:r>
      <w:r w:rsidR="00797C37">
        <w:rPr>
          <w:rFonts w:ascii="Verdana" w:eastAsia="Verdana" w:hAnsi="Verdana" w:cs="Verdana"/>
          <w:color w:val="000000"/>
        </w:rPr>
        <w:t xml:space="preserve"> </w:t>
      </w:r>
      <w:r>
        <w:rPr>
          <w:rFonts w:ascii="Verdana" w:eastAsia="Verdana" w:hAnsi="Verdana" w:cs="Verdana"/>
          <w:color w:val="000000"/>
        </w:rPr>
        <w:t xml:space="preserve">(PNCTE). </w:t>
      </w:r>
    </w:p>
    <w:p w14:paraId="3445CF9B" w14:textId="77777777" w:rsidR="000A3508" w:rsidRDefault="000A3508">
      <w:pPr>
        <w:pBdr>
          <w:top w:val="nil"/>
          <w:left w:val="nil"/>
          <w:bottom w:val="nil"/>
          <w:right w:val="nil"/>
          <w:between w:val="nil"/>
        </w:pBdr>
        <w:spacing w:after="0"/>
        <w:jc w:val="both"/>
        <w:rPr>
          <w:rFonts w:ascii="Verdana" w:eastAsia="Verdana" w:hAnsi="Verdana" w:cs="Verdana"/>
          <w:color w:val="000000"/>
        </w:rPr>
      </w:pPr>
      <w:bookmarkStart w:id="1" w:name="_heading=h.97pkkrikf97e" w:colFirst="0" w:colLast="0"/>
      <w:bookmarkEnd w:id="1"/>
    </w:p>
    <w:p w14:paraId="3445CF9C" w14:textId="4C04CFCE" w:rsidR="000A3508" w:rsidRDefault="00880DC3">
      <w:pPr>
        <w:jc w:val="center"/>
        <w:rPr>
          <w:rFonts w:ascii="Verdana" w:eastAsia="Verdana" w:hAnsi="Verdana" w:cs="Verdana"/>
          <w:b/>
          <w:bCs/>
          <w:color w:val="000000"/>
        </w:rPr>
      </w:pPr>
      <w:r>
        <w:rPr>
          <w:rFonts w:ascii="Verdana" w:eastAsia="Verdana" w:hAnsi="Verdana" w:cs="Verdana"/>
          <w:b/>
          <w:bCs/>
          <w:color w:val="000000"/>
        </w:rPr>
        <w:t xml:space="preserve">Sección 2: Criterios para la determinación de las Personas obligadas a </w:t>
      </w:r>
      <w:r w:rsidR="00D0166B">
        <w:rPr>
          <w:rFonts w:ascii="Verdana" w:eastAsia="Verdana" w:hAnsi="Verdana" w:cs="Verdana"/>
          <w:b/>
          <w:bCs/>
          <w:color w:val="000000"/>
        </w:rPr>
        <w:t xml:space="preserve">cuantificar y </w:t>
      </w:r>
      <w:r>
        <w:rPr>
          <w:rFonts w:ascii="Verdana" w:eastAsia="Verdana" w:hAnsi="Verdana" w:cs="Verdana"/>
          <w:b/>
          <w:bCs/>
          <w:color w:val="000000"/>
        </w:rPr>
        <w:t>reportar las emisiones de GEI</w:t>
      </w:r>
    </w:p>
    <w:p w14:paraId="753DDB9B" w14:textId="7E92CDC6" w:rsidR="0072358F" w:rsidRDefault="00880DC3">
      <w:pPr>
        <w:spacing w:line="259" w:lineRule="auto"/>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1</w:t>
      </w:r>
      <w:r>
        <w:rPr>
          <w:rFonts w:ascii="Verdana" w:eastAsia="Verdana" w:hAnsi="Verdana" w:cs="Verdana"/>
          <w:b/>
          <w:bCs/>
          <w:color w:val="000000"/>
        </w:rPr>
        <w:t xml:space="preserve">. Criterios para la determinación de las personas jurídicas obligadas a </w:t>
      </w:r>
      <w:r w:rsidR="00D0166B">
        <w:rPr>
          <w:rFonts w:ascii="Verdana" w:eastAsia="Verdana" w:hAnsi="Verdana" w:cs="Verdana"/>
          <w:b/>
          <w:bCs/>
          <w:color w:val="000000"/>
        </w:rPr>
        <w:t xml:space="preserve">cuantificar y </w:t>
      </w:r>
      <w:r>
        <w:rPr>
          <w:rFonts w:ascii="Verdana" w:eastAsia="Verdana" w:hAnsi="Verdana" w:cs="Verdana"/>
          <w:b/>
          <w:bCs/>
          <w:color w:val="000000"/>
        </w:rPr>
        <w:t>reportar las emisiones de GEI</w:t>
      </w:r>
      <w:r w:rsidR="004C24D4">
        <w:rPr>
          <w:rFonts w:ascii="Verdana" w:eastAsia="Verdana" w:hAnsi="Verdana" w:cs="Verdana"/>
          <w:b/>
          <w:bCs/>
          <w:color w:val="000000"/>
        </w:rPr>
        <w:t>:</w:t>
      </w:r>
      <w:r w:rsidR="00E80DC5">
        <w:rPr>
          <w:rFonts w:ascii="Verdana" w:eastAsia="Verdana" w:hAnsi="Verdana" w:cs="Verdana"/>
          <w:color w:val="000000"/>
        </w:rPr>
        <w:t xml:space="preserve"> </w:t>
      </w:r>
      <w:r>
        <w:rPr>
          <w:rFonts w:ascii="Verdana" w:eastAsia="Verdana" w:hAnsi="Verdana" w:cs="Verdana"/>
          <w:color w:val="000000"/>
        </w:rPr>
        <w:t>La determinación de las   personas jurídicas públicas, privadas o mixtas obligadas a cuantificar y reportar las emisiones directas e indirectas de Gases de Efecto Invernadero</w:t>
      </w:r>
      <w:r w:rsidR="0072358F">
        <w:rPr>
          <w:rFonts w:ascii="Verdana" w:eastAsia="Verdana" w:hAnsi="Verdana" w:cs="Verdana"/>
          <w:color w:val="000000"/>
        </w:rPr>
        <w:t xml:space="preserve"> (GEI)</w:t>
      </w:r>
      <w:r>
        <w:rPr>
          <w:rFonts w:ascii="Verdana" w:eastAsia="Verdana" w:hAnsi="Verdana" w:cs="Verdana"/>
          <w:color w:val="000000"/>
        </w:rPr>
        <w:t xml:space="preserve"> se realizará</w:t>
      </w:r>
      <w:r w:rsidR="0072358F">
        <w:rPr>
          <w:rFonts w:ascii="Verdana" w:eastAsia="Verdana" w:hAnsi="Verdana" w:cs="Verdana"/>
          <w:color w:val="000000"/>
        </w:rPr>
        <w:t xml:space="preserve"> mediante la aplicación conjunta de </w:t>
      </w:r>
      <w:r>
        <w:rPr>
          <w:rFonts w:ascii="Verdana" w:eastAsia="Verdana" w:hAnsi="Verdana" w:cs="Verdana"/>
          <w:color w:val="000000"/>
        </w:rPr>
        <w:t>los siguientes criterios</w:t>
      </w:r>
      <w:r w:rsidR="0072358F">
        <w:rPr>
          <w:rFonts w:ascii="Verdana" w:eastAsia="Verdana" w:hAnsi="Verdana" w:cs="Verdana"/>
          <w:color w:val="000000"/>
        </w:rPr>
        <w:t>, de conformidad con lo dispuesto en el artículo 16 de la Ley 2169 de 2021</w:t>
      </w:r>
      <w:r>
        <w:rPr>
          <w:rFonts w:ascii="Verdana" w:eastAsia="Verdana" w:hAnsi="Verdana" w:cs="Verdana"/>
          <w:color w:val="000000"/>
        </w:rPr>
        <w:t>:</w:t>
      </w:r>
    </w:p>
    <w:p w14:paraId="3445CF9E" w14:textId="284D6F5A" w:rsidR="000A3508" w:rsidRDefault="00880DC3">
      <w:pPr>
        <w:numPr>
          <w:ilvl w:val="0"/>
          <w:numId w:val="12"/>
        </w:numPr>
        <w:pBdr>
          <w:top w:val="nil"/>
          <w:left w:val="nil"/>
          <w:bottom w:val="nil"/>
          <w:right w:val="nil"/>
          <w:between w:val="nil"/>
        </w:pBdr>
        <w:spacing w:after="0" w:line="240" w:lineRule="auto"/>
        <w:jc w:val="both"/>
        <w:rPr>
          <w:rFonts w:ascii="Verdana" w:eastAsia="Verdana" w:hAnsi="Verdana" w:cs="Verdana"/>
          <w:color w:val="000000"/>
        </w:rPr>
      </w:pPr>
      <w:r>
        <w:rPr>
          <w:rFonts w:ascii="Verdana" w:eastAsia="Verdana" w:hAnsi="Verdana" w:cs="Verdana"/>
          <w:color w:val="000000"/>
        </w:rPr>
        <w:t xml:space="preserve">Nivel de emisiones de </w:t>
      </w:r>
      <w:proofErr w:type="spellStart"/>
      <w:r>
        <w:rPr>
          <w:rFonts w:ascii="Verdana" w:eastAsia="Verdana" w:hAnsi="Verdana" w:cs="Verdana"/>
          <w:color w:val="000000"/>
        </w:rPr>
        <w:t>G</w:t>
      </w:r>
      <w:r w:rsidR="00B707E6">
        <w:rPr>
          <w:rFonts w:ascii="Verdana" w:eastAsia="Verdana" w:hAnsi="Verdana" w:cs="Verdana"/>
          <w:color w:val="000000"/>
        </w:rPr>
        <w:t>E</w:t>
      </w:r>
      <w:r>
        <w:rPr>
          <w:rFonts w:ascii="Verdana" w:eastAsia="Verdana" w:hAnsi="Verdana" w:cs="Verdana"/>
          <w:color w:val="000000"/>
        </w:rPr>
        <w:t>l</w:t>
      </w:r>
      <w:proofErr w:type="spellEnd"/>
      <w:sdt>
        <w:sdtPr>
          <w:tag w:val="goog_rdk_83"/>
          <w:id w:val="1796261495"/>
        </w:sdtPr>
        <w:sdtContent>
          <w:r>
            <w:rPr>
              <w:rFonts w:ascii="Verdana" w:eastAsia="Verdana" w:hAnsi="Verdana" w:cs="Verdana"/>
              <w:color w:val="000000"/>
            </w:rPr>
            <w:t>.</w:t>
          </w:r>
        </w:sdtContent>
      </w:sdt>
    </w:p>
    <w:p w14:paraId="3445CF9F" w14:textId="3DB59395" w:rsidR="000A3508" w:rsidRDefault="00880DC3">
      <w:pPr>
        <w:numPr>
          <w:ilvl w:val="0"/>
          <w:numId w:val="12"/>
        </w:numPr>
        <w:pBdr>
          <w:top w:val="nil"/>
          <w:left w:val="nil"/>
          <w:bottom w:val="nil"/>
          <w:right w:val="nil"/>
          <w:between w:val="nil"/>
        </w:pBdr>
        <w:spacing w:after="0" w:line="240" w:lineRule="auto"/>
        <w:jc w:val="both"/>
        <w:rPr>
          <w:rFonts w:ascii="Verdana" w:eastAsia="Verdana" w:hAnsi="Verdana" w:cs="Verdana"/>
          <w:color w:val="000000"/>
        </w:rPr>
      </w:pPr>
      <w:r>
        <w:rPr>
          <w:rFonts w:ascii="Verdana" w:eastAsia="Verdana" w:hAnsi="Verdana" w:cs="Verdana"/>
          <w:color w:val="000000"/>
        </w:rPr>
        <w:t>Tamaño de la empresa</w:t>
      </w:r>
      <w:r w:rsidR="00715A0A">
        <w:rPr>
          <w:rFonts w:ascii="Verdana" w:eastAsia="Verdana" w:hAnsi="Verdana" w:cs="Verdana"/>
          <w:color w:val="000000"/>
        </w:rPr>
        <w:t xml:space="preserve">, </w:t>
      </w:r>
      <w:r w:rsidR="00715A0A" w:rsidRPr="00715A0A">
        <w:rPr>
          <w:rFonts w:ascii="Verdana" w:eastAsia="Verdana" w:hAnsi="Verdana" w:cs="Verdana"/>
          <w:color w:val="000000"/>
        </w:rPr>
        <w:t>para las personas jurídicas de naturaleza privada o mixta con capital público inferior al 50%</w:t>
      </w:r>
      <w:r w:rsidR="00715A0A">
        <w:rPr>
          <w:rFonts w:ascii="Verdana" w:eastAsia="Verdana" w:hAnsi="Verdana" w:cs="Verdana"/>
          <w:color w:val="000000"/>
        </w:rPr>
        <w:t>.</w:t>
      </w:r>
    </w:p>
    <w:p w14:paraId="29BC618B" w14:textId="12B08306" w:rsidR="00715A0A" w:rsidRPr="00715A0A" w:rsidRDefault="00880DC3" w:rsidP="00715A0A">
      <w:pPr>
        <w:pStyle w:val="Prrafodelista"/>
        <w:numPr>
          <w:ilvl w:val="0"/>
          <w:numId w:val="12"/>
        </w:numPr>
        <w:rPr>
          <w:rFonts w:ascii="Verdana" w:eastAsia="Verdana" w:hAnsi="Verdana" w:cs="Verdana"/>
          <w:color w:val="000000"/>
          <w:lang w:eastAsia="es-419"/>
        </w:rPr>
      </w:pPr>
      <w:r w:rsidRPr="00715A0A">
        <w:rPr>
          <w:rFonts w:ascii="Verdana" w:eastAsia="Verdana" w:hAnsi="Verdana" w:cs="Verdana"/>
          <w:color w:val="000000"/>
        </w:rPr>
        <w:t>Clasificación de la unidad del sector público</w:t>
      </w:r>
      <w:r w:rsidR="00715A0A" w:rsidRPr="00715A0A">
        <w:t xml:space="preserve"> </w:t>
      </w:r>
      <w:r w:rsidR="00715A0A" w:rsidRPr="00715A0A">
        <w:rPr>
          <w:rFonts w:ascii="Verdana" w:eastAsia="Verdana" w:hAnsi="Verdana" w:cs="Verdana"/>
          <w:color w:val="000000"/>
          <w:lang w:eastAsia="es-419"/>
        </w:rPr>
        <w:t>para las personas jurídicas de naturaleza pública o mixta con capital público igual o superior al 50%</w:t>
      </w:r>
      <w:r w:rsidR="0001289F">
        <w:rPr>
          <w:rFonts w:ascii="Verdana" w:eastAsia="Verdana" w:hAnsi="Verdana" w:cs="Verdana"/>
          <w:color w:val="000000"/>
          <w:lang w:eastAsia="es-419"/>
        </w:rPr>
        <w:t xml:space="preserve"> de </w:t>
      </w:r>
      <w:r w:rsidR="0058331B">
        <w:rPr>
          <w:rFonts w:ascii="Verdana" w:eastAsia="Verdana" w:hAnsi="Verdana" w:cs="Verdana"/>
          <w:color w:val="000000"/>
          <w:lang w:eastAsia="es-419"/>
        </w:rPr>
        <w:t xml:space="preserve">conformidad </w:t>
      </w:r>
      <w:r w:rsidR="003F0024">
        <w:rPr>
          <w:rFonts w:ascii="Verdana" w:eastAsia="Verdana" w:hAnsi="Verdana" w:cs="Verdana"/>
          <w:color w:val="000000"/>
          <w:lang w:eastAsia="es-419"/>
        </w:rPr>
        <w:t>con</w:t>
      </w:r>
      <w:r w:rsidR="0058331B">
        <w:rPr>
          <w:rFonts w:ascii="Verdana" w:eastAsia="Verdana" w:hAnsi="Verdana" w:cs="Verdana"/>
          <w:color w:val="000000"/>
          <w:lang w:eastAsia="es-419"/>
        </w:rPr>
        <w:t xml:space="preserve"> lo establecido por la </w:t>
      </w:r>
      <w:r w:rsidR="0058331B">
        <w:rPr>
          <w:rFonts w:ascii="Verdana" w:eastAsia="Verdana" w:hAnsi="Verdana" w:cs="Verdana"/>
          <w:color w:val="000000"/>
        </w:rPr>
        <w:t>Contaduría General de la Nació</w:t>
      </w:r>
      <w:r w:rsidR="003F0024">
        <w:rPr>
          <w:rFonts w:ascii="Verdana" w:eastAsia="Verdana" w:hAnsi="Verdana" w:cs="Verdana"/>
          <w:color w:val="000000"/>
        </w:rPr>
        <w:t>n</w:t>
      </w:r>
      <w:r w:rsidR="00715A0A" w:rsidRPr="00715A0A">
        <w:rPr>
          <w:rFonts w:ascii="Verdana" w:eastAsia="Verdana" w:hAnsi="Verdana" w:cs="Verdana"/>
          <w:color w:val="000000"/>
          <w:lang w:eastAsia="es-419"/>
        </w:rPr>
        <w:t xml:space="preserve">. </w:t>
      </w:r>
    </w:p>
    <w:p w14:paraId="37BB5AE0" w14:textId="77777777" w:rsidR="00E70E3C" w:rsidRDefault="00E70E3C" w:rsidP="009A29D7">
      <w:pPr>
        <w:pBdr>
          <w:top w:val="nil"/>
          <w:left w:val="nil"/>
          <w:bottom w:val="nil"/>
          <w:right w:val="nil"/>
          <w:between w:val="nil"/>
        </w:pBdr>
        <w:spacing w:after="0" w:line="240" w:lineRule="auto"/>
        <w:ind w:left="360"/>
        <w:jc w:val="both"/>
        <w:rPr>
          <w:rFonts w:ascii="Verdana" w:eastAsia="Verdana" w:hAnsi="Verdana" w:cs="Verdana"/>
          <w:color w:val="000000"/>
        </w:rPr>
      </w:pPr>
    </w:p>
    <w:p w14:paraId="411D3D54" w14:textId="3D923EC3" w:rsidR="00715A0A" w:rsidRPr="002769DC" w:rsidRDefault="00715A0A">
      <w:pPr>
        <w:pBdr>
          <w:top w:val="nil"/>
          <w:left w:val="nil"/>
          <w:bottom w:val="nil"/>
          <w:right w:val="nil"/>
          <w:between w:val="nil"/>
        </w:pBdr>
        <w:spacing w:after="0"/>
        <w:jc w:val="both"/>
        <w:rPr>
          <w:rFonts w:ascii="Verdana" w:hAnsi="Verdana"/>
          <w:lang w:val="es-419"/>
        </w:rPr>
      </w:pPr>
      <w:r w:rsidRPr="002769DC">
        <w:rPr>
          <w:rFonts w:ascii="Verdana" w:hAnsi="Verdana"/>
          <w:lang w:val="es-419"/>
        </w:rPr>
        <w:t>Estos criterios se aplicarán de manera diferenciada según la naturaleza jurídica de la entidad, con el fin de garantizar la cobertura y aplicabilidad del Reporte Obligatorio de Emisiones de GEI.</w:t>
      </w:r>
    </w:p>
    <w:p w14:paraId="06AB3CEE" w14:textId="77777777" w:rsidR="00715A0A" w:rsidRDefault="00715A0A">
      <w:pPr>
        <w:pBdr>
          <w:top w:val="nil"/>
          <w:left w:val="nil"/>
          <w:bottom w:val="nil"/>
          <w:right w:val="nil"/>
          <w:between w:val="nil"/>
        </w:pBdr>
        <w:spacing w:after="0"/>
        <w:jc w:val="both"/>
        <w:rPr>
          <w:sz w:val="20"/>
          <w:szCs w:val="20"/>
          <w:lang w:val="es-419"/>
        </w:rPr>
      </w:pPr>
    </w:p>
    <w:p w14:paraId="71CBD828" w14:textId="60ED10D3" w:rsidR="00E80DC5" w:rsidRDefault="00A65F64">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Parágrafo</w:t>
      </w:r>
      <w:r w:rsidR="004A453E">
        <w:rPr>
          <w:rFonts w:ascii="Verdana" w:eastAsia="Verdana" w:hAnsi="Verdana" w:cs="Verdana"/>
          <w:b/>
          <w:bCs/>
          <w:color w:val="000000"/>
        </w:rPr>
        <w:t xml:space="preserve">. </w:t>
      </w:r>
      <w:r w:rsidR="0072358F" w:rsidRPr="0072358F">
        <w:rPr>
          <w:rFonts w:ascii="Verdana" w:eastAsia="Verdana" w:hAnsi="Verdana" w:cs="Verdana"/>
          <w:color w:val="000000"/>
        </w:rPr>
        <w:t>La aplicación de los criterios señalados en el presente artículo y la determinación de las personas jurídicas obligadas se desarrollará en el artículo 1</w:t>
      </w:r>
      <w:r w:rsidR="000D34BF">
        <w:rPr>
          <w:rFonts w:ascii="Verdana" w:eastAsia="Verdana" w:hAnsi="Verdana" w:cs="Verdana"/>
          <w:color w:val="000000"/>
        </w:rPr>
        <w:t>6</w:t>
      </w:r>
      <w:r w:rsidR="0072358F" w:rsidRPr="0072358F">
        <w:rPr>
          <w:rFonts w:ascii="Verdana" w:eastAsia="Verdana" w:hAnsi="Verdana" w:cs="Verdana"/>
          <w:color w:val="000000"/>
        </w:rPr>
        <w:t xml:space="preserve"> de la presente resolución, de manera gradual y progresiva en la implementación del ROE.</w:t>
      </w:r>
    </w:p>
    <w:p w14:paraId="263FFD69" w14:textId="77777777" w:rsidR="004A453E" w:rsidRDefault="004A453E">
      <w:pPr>
        <w:pBdr>
          <w:top w:val="nil"/>
          <w:left w:val="nil"/>
          <w:bottom w:val="nil"/>
          <w:right w:val="nil"/>
          <w:between w:val="nil"/>
        </w:pBdr>
        <w:spacing w:after="0"/>
        <w:jc w:val="both"/>
        <w:rPr>
          <w:rFonts w:ascii="Verdana" w:eastAsia="Verdana" w:hAnsi="Verdana" w:cs="Verdana"/>
          <w:b/>
          <w:bCs/>
          <w:color w:val="000000"/>
        </w:rPr>
      </w:pPr>
    </w:p>
    <w:p w14:paraId="3445CFA2" w14:textId="01AB5E13"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2</w:t>
      </w:r>
      <w:r>
        <w:rPr>
          <w:rFonts w:ascii="Verdana" w:eastAsia="Verdana" w:hAnsi="Verdana" w:cs="Verdana"/>
          <w:b/>
          <w:bCs/>
          <w:color w:val="000000"/>
        </w:rPr>
        <w:t>. Nivel de emisiones de GEI.</w:t>
      </w:r>
      <w:r>
        <w:rPr>
          <w:rFonts w:ascii="Verdana" w:eastAsia="Verdana" w:hAnsi="Verdana" w:cs="Verdana"/>
          <w:color w:val="000000"/>
        </w:rPr>
        <w:t xml:space="preserve"> Las personas jurídicas públicas, privadas o mixtas cuyas emisiones directas </w:t>
      </w:r>
      <w:r w:rsidR="005E19FC">
        <w:rPr>
          <w:rFonts w:ascii="Verdana" w:eastAsia="Verdana" w:hAnsi="Verdana" w:cs="Verdana"/>
          <w:color w:val="000000"/>
        </w:rPr>
        <w:t>y emisiones</w:t>
      </w:r>
      <w:r>
        <w:rPr>
          <w:rFonts w:ascii="Verdana" w:eastAsia="Verdana" w:hAnsi="Verdana" w:cs="Verdana"/>
          <w:color w:val="000000"/>
        </w:rPr>
        <w:t xml:space="preserve"> indirectas de GEI por energía adquirida sean iguales o superiores a </w:t>
      </w:r>
      <w:sdt>
        <w:sdtPr>
          <w:tag w:val="goog_rdk_86"/>
          <w:id w:val="-1509174324"/>
        </w:sdtPr>
        <w:sdtContent/>
      </w:sdt>
      <w:r>
        <w:rPr>
          <w:rFonts w:ascii="Verdana" w:eastAsia="Verdana" w:hAnsi="Verdana" w:cs="Verdana"/>
          <w:color w:val="000000"/>
        </w:rPr>
        <w:t>11</w:t>
      </w:r>
      <w:r w:rsidR="00715A0A">
        <w:rPr>
          <w:rFonts w:ascii="Verdana" w:eastAsia="Verdana" w:hAnsi="Verdana" w:cs="Verdana"/>
          <w:color w:val="000000"/>
        </w:rPr>
        <w:t>.</w:t>
      </w:r>
      <w:r>
        <w:rPr>
          <w:rFonts w:ascii="Verdana" w:eastAsia="Verdana" w:hAnsi="Verdana" w:cs="Verdana"/>
          <w:color w:val="000000"/>
        </w:rPr>
        <w:t>000 tCO</w:t>
      </w:r>
      <w:r w:rsidRPr="002769DC">
        <w:rPr>
          <w:rFonts w:ascii="Verdana" w:eastAsia="Verdana" w:hAnsi="Verdana" w:cs="Verdana"/>
          <w:color w:val="000000"/>
          <w:vertAlign w:val="subscript"/>
        </w:rPr>
        <w:t>2</w:t>
      </w:r>
      <w:r>
        <w:rPr>
          <w:rFonts w:ascii="Verdana" w:eastAsia="Verdana" w:hAnsi="Verdana" w:cs="Verdana"/>
          <w:color w:val="000000"/>
        </w:rPr>
        <w:t>eq/anuales, estarán obligadas a reportar sus emisiones de GEI</w:t>
      </w:r>
      <w:r w:rsidR="005E19FC">
        <w:rPr>
          <w:rFonts w:ascii="Verdana" w:eastAsia="Verdana" w:hAnsi="Verdana" w:cs="Verdana"/>
          <w:color w:val="000000"/>
        </w:rPr>
        <w:t>, de conformidad con las condiciones de aplicación</w:t>
      </w:r>
      <w:r>
        <w:rPr>
          <w:rFonts w:ascii="Verdana" w:eastAsia="Verdana" w:hAnsi="Verdana" w:cs="Verdana"/>
          <w:color w:val="000000"/>
        </w:rPr>
        <w:t xml:space="preserve"> establecidas en la presente Resolución o aquella que la modifique o sustituya.</w:t>
      </w:r>
    </w:p>
    <w:p w14:paraId="3445CFA3"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7FB0571A" w14:textId="2644B634" w:rsidR="009E28D0" w:rsidRDefault="00880DC3">
      <w:pPr>
        <w:pBdr>
          <w:top w:val="nil"/>
          <w:left w:val="nil"/>
          <w:bottom w:val="nil"/>
          <w:right w:val="nil"/>
          <w:between w:val="nil"/>
        </w:pBdr>
        <w:spacing w:after="0"/>
        <w:jc w:val="both"/>
        <w:rPr>
          <w:rFonts w:ascii="Verdana" w:eastAsia="Verdana" w:hAnsi="Verdana" w:cs="Verdana"/>
          <w:color w:val="000000"/>
        </w:rPr>
      </w:pPr>
      <w:bookmarkStart w:id="2" w:name="_heading=h.i0gyxswuiquk" w:colFirst="0" w:colLast="0"/>
      <w:bookmarkEnd w:id="2"/>
      <w:r>
        <w:rPr>
          <w:rFonts w:ascii="Verdana" w:eastAsia="Verdana" w:hAnsi="Verdana" w:cs="Verdana"/>
          <w:color w:val="000000"/>
        </w:rPr>
        <w:t>Para determinar el cumplimiento del nivel de emisiones</w:t>
      </w:r>
      <w:sdt>
        <w:sdtPr>
          <w:tag w:val="goog_rdk_87"/>
          <w:id w:val="74908185"/>
        </w:sdtPr>
        <w:sdtContent>
          <w:r>
            <w:rPr>
              <w:rFonts w:ascii="Verdana" w:eastAsia="Verdana" w:hAnsi="Verdana" w:cs="Verdana"/>
              <w:color w:val="000000"/>
            </w:rPr>
            <w:t>,</w:t>
          </w:r>
        </w:sdtContent>
      </w:sdt>
      <w:r>
        <w:rPr>
          <w:rFonts w:ascii="Verdana" w:eastAsia="Verdana" w:hAnsi="Verdana" w:cs="Verdana"/>
          <w:color w:val="000000"/>
        </w:rPr>
        <w:t xml:space="preserve"> las personas jurídicas públicas, privadas o mixtas deberán cuantificar anualmente las emisiones de GEI </w:t>
      </w:r>
      <w:r w:rsidR="008E7B91">
        <w:rPr>
          <w:rFonts w:ascii="Verdana" w:eastAsia="Verdana" w:hAnsi="Verdana" w:cs="Verdana"/>
          <w:color w:val="000000"/>
        </w:rPr>
        <w:t xml:space="preserve">de la organización, </w:t>
      </w:r>
      <w:r>
        <w:rPr>
          <w:rFonts w:ascii="Verdana" w:eastAsia="Verdana" w:hAnsi="Verdana" w:cs="Verdana"/>
          <w:color w:val="000000"/>
        </w:rPr>
        <w:t>de conformidad con lo establecido en el protocolo de cuantificación y reporte de emisiones</w:t>
      </w:r>
      <w:r w:rsidR="0080663A">
        <w:rPr>
          <w:rFonts w:ascii="Verdana" w:eastAsia="Verdana" w:hAnsi="Verdana" w:cs="Verdana"/>
          <w:color w:val="000000"/>
        </w:rPr>
        <w:t>, adoptado en el artículo 1</w:t>
      </w:r>
      <w:r w:rsidR="00F46287">
        <w:rPr>
          <w:rFonts w:ascii="Verdana" w:eastAsia="Verdana" w:hAnsi="Verdana" w:cs="Verdana"/>
          <w:color w:val="000000"/>
        </w:rPr>
        <w:t>7</w:t>
      </w:r>
      <w:r w:rsidR="0080663A">
        <w:rPr>
          <w:rFonts w:ascii="Verdana" w:eastAsia="Verdana" w:hAnsi="Verdana" w:cs="Verdana"/>
          <w:color w:val="000000"/>
        </w:rPr>
        <w:t xml:space="preserve"> de la p</w:t>
      </w:r>
      <w:r w:rsidR="003D3B95">
        <w:rPr>
          <w:rFonts w:ascii="Verdana" w:eastAsia="Verdana" w:hAnsi="Verdana" w:cs="Verdana"/>
          <w:color w:val="000000"/>
        </w:rPr>
        <w:t>resente resolución</w:t>
      </w:r>
      <w:r>
        <w:rPr>
          <w:rFonts w:ascii="Verdana" w:eastAsia="Verdana" w:hAnsi="Verdana" w:cs="Verdana"/>
          <w:color w:val="000000"/>
        </w:rPr>
        <w:t xml:space="preserve">. </w:t>
      </w:r>
    </w:p>
    <w:p w14:paraId="2EA62A6D" w14:textId="77777777" w:rsidR="009E28D0" w:rsidRDefault="009E28D0">
      <w:pPr>
        <w:pBdr>
          <w:top w:val="nil"/>
          <w:left w:val="nil"/>
          <w:bottom w:val="nil"/>
          <w:right w:val="nil"/>
          <w:between w:val="nil"/>
        </w:pBdr>
        <w:spacing w:after="0"/>
        <w:jc w:val="both"/>
        <w:rPr>
          <w:rFonts w:ascii="Verdana" w:eastAsia="Verdana" w:hAnsi="Verdana" w:cs="Verdana"/>
          <w:color w:val="000000"/>
        </w:rPr>
      </w:pPr>
    </w:p>
    <w:p w14:paraId="3445CFA4" w14:textId="062C2A3C"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En caso de que una persona jurídica pública, privada o mixta no supere el nivel de emisiones, deberá </w:t>
      </w:r>
      <w:r w:rsidR="002C1710">
        <w:rPr>
          <w:rFonts w:ascii="Verdana" w:eastAsia="Verdana" w:hAnsi="Verdana" w:cs="Verdana"/>
          <w:color w:val="000000"/>
        </w:rPr>
        <w:t>presentar en la plataforma ROE</w:t>
      </w:r>
      <w:r>
        <w:rPr>
          <w:rFonts w:ascii="Verdana" w:eastAsia="Verdana" w:hAnsi="Verdana" w:cs="Verdana"/>
          <w:color w:val="000000"/>
        </w:rPr>
        <w:t xml:space="preserve"> </w:t>
      </w:r>
      <w:r w:rsidRPr="009A29D7">
        <w:rPr>
          <w:rFonts w:ascii="Verdana" w:eastAsia="Verdana" w:hAnsi="Verdana" w:cs="Verdana"/>
          <w:color w:val="000000"/>
        </w:rPr>
        <w:t xml:space="preserve">una autodeclaración de </w:t>
      </w:r>
      <w:r w:rsidR="005E19FC" w:rsidRPr="009A29D7">
        <w:rPr>
          <w:rFonts w:ascii="Verdana" w:eastAsia="Verdana" w:hAnsi="Verdana" w:cs="Verdana"/>
          <w:color w:val="000000"/>
        </w:rPr>
        <w:t>sus</w:t>
      </w:r>
      <w:r w:rsidRPr="009A29D7">
        <w:rPr>
          <w:rFonts w:ascii="Verdana" w:eastAsia="Verdana" w:hAnsi="Verdana" w:cs="Verdana"/>
          <w:color w:val="000000"/>
        </w:rPr>
        <w:t xml:space="preserve"> emisiones</w:t>
      </w:r>
      <w:r w:rsidR="005E19FC" w:rsidRPr="009A29D7">
        <w:rPr>
          <w:rFonts w:ascii="Verdana" w:eastAsia="Verdana" w:hAnsi="Verdana" w:cs="Verdana"/>
          <w:color w:val="000000"/>
        </w:rPr>
        <w:t xml:space="preserve"> de GEI</w:t>
      </w:r>
      <w:r w:rsidR="00245390">
        <w:rPr>
          <w:rFonts w:ascii="Verdana" w:eastAsia="Verdana" w:hAnsi="Verdana" w:cs="Verdana"/>
          <w:color w:val="000000"/>
        </w:rPr>
        <w:t xml:space="preserve">, en cumplimiento de los establecido </w:t>
      </w:r>
      <w:r w:rsidR="00785D21" w:rsidRPr="002769DC">
        <w:rPr>
          <w:rFonts w:ascii="Verdana" w:eastAsia="Verdana" w:hAnsi="Verdana" w:cs="Verdana"/>
          <w:color w:val="000000"/>
        </w:rPr>
        <w:t>en el artículo 2</w:t>
      </w:r>
      <w:r w:rsidR="00F46287">
        <w:rPr>
          <w:rFonts w:ascii="Verdana" w:eastAsia="Verdana" w:hAnsi="Verdana" w:cs="Verdana"/>
          <w:color w:val="000000"/>
        </w:rPr>
        <w:t>2</w:t>
      </w:r>
      <w:r w:rsidR="009E28D0">
        <w:rPr>
          <w:rFonts w:ascii="Verdana" w:eastAsia="Verdana" w:hAnsi="Verdana" w:cs="Verdana"/>
          <w:color w:val="000000"/>
        </w:rPr>
        <w:t xml:space="preserve"> de la presente resolución</w:t>
      </w:r>
      <w:r>
        <w:rPr>
          <w:rFonts w:ascii="Verdana" w:eastAsia="Verdana" w:hAnsi="Verdana" w:cs="Verdana"/>
          <w:color w:val="000000"/>
        </w:rPr>
        <w:t>.</w:t>
      </w:r>
    </w:p>
    <w:p w14:paraId="3167A048" w14:textId="11FE6D4E" w:rsidR="00D74F75" w:rsidRDefault="00D74F75">
      <w:pPr>
        <w:pBdr>
          <w:top w:val="nil"/>
          <w:left w:val="nil"/>
          <w:bottom w:val="nil"/>
          <w:right w:val="nil"/>
          <w:between w:val="nil"/>
        </w:pBdr>
        <w:spacing w:after="0"/>
        <w:jc w:val="both"/>
        <w:rPr>
          <w:rFonts w:ascii="Verdana" w:eastAsia="Verdana" w:hAnsi="Verdana" w:cs="Verdana"/>
          <w:color w:val="000000"/>
        </w:rPr>
      </w:pPr>
    </w:p>
    <w:p w14:paraId="3C0C5F85" w14:textId="29E3B1C0" w:rsidR="001775BF" w:rsidRDefault="00F42E41" w:rsidP="001775BF">
      <w:pPr>
        <w:pBdr>
          <w:top w:val="nil"/>
          <w:left w:val="nil"/>
          <w:bottom w:val="nil"/>
          <w:right w:val="nil"/>
          <w:between w:val="nil"/>
        </w:pBdr>
        <w:spacing w:after="0"/>
        <w:jc w:val="both"/>
        <w:rPr>
          <w:rFonts w:ascii="Verdana" w:eastAsia="Verdana" w:hAnsi="Verdana" w:cs="Verdana"/>
          <w:color w:val="000000"/>
          <w:lang w:val="es-CO"/>
        </w:rPr>
      </w:pPr>
      <w:r w:rsidRPr="00D81A67">
        <w:rPr>
          <w:rFonts w:ascii="Verdana" w:eastAsia="Verdana" w:hAnsi="Verdana" w:cs="Verdana"/>
          <w:b/>
          <w:bCs/>
          <w:color w:val="000000"/>
          <w:lang w:val="es-CO"/>
        </w:rPr>
        <w:t>Parágrafo</w:t>
      </w:r>
      <w:r>
        <w:rPr>
          <w:rFonts w:ascii="Verdana" w:eastAsia="Verdana" w:hAnsi="Verdana" w:cs="Verdana"/>
          <w:color w:val="000000"/>
          <w:lang w:val="es-CO"/>
        </w:rPr>
        <w:t xml:space="preserve">. </w:t>
      </w:r>
      <w:r w:rsidR="001775BF" w:rsidRPr="009A29D7">
        <w:rPr>
          <w:rFonts w:ascii="Verdana" w:eastAsia="Verdana" w:hAnsi="Verdana" w:cs="Verdana"/>
          <w:color w:val="000000"/>
          <w:lang w:val="es-CO"/>
        </w:rPr>
        <w:t>El nivel de emisiones de GEI será revisado</w:t>
      </w:r>
      <w:r w:rsidR="002C08A3">
        <w:rPr>
          <w:rFonts w:ascii="Verdana" w:eastAsia="Verdana" w:hAnsi="Verdana" w:cs="Verdana"/>
          <w:color w:val="000000"/>
          <w:lang w:val="es-CO"/>
        </w:rPr>
        <w:t xml:space="preserve"> y actualizado</w:t>
      </w:r>
      <w:r w:rsidR="001775BF" w:rsidRPr="009A29D7">
        <w:rPr>
          <w:rFonts w:ascii="Verdana" w:eastAsia="Verdana" w:hAnsi="Verdana" w:cs="Verdana"/>
          <w:color w:val="000000"/>
          <w:lang w:val="es-CO"/>
        </w:rPr>
        <w:t xml:space="preserve"> por el Ministerio de Ambiente y Desarrollo Sostenible una vez finalice la etapa 3 </w:t>
      </w:r>
      <w:r w:rsidR="00CD7FAA">
        <w:rPr>
          <w:rFonts w:ascii="Verdana" w:eastAsia="Verdana" w:hAnsi="Verdana" w:cs="Verdana"/>
          <w:color w:val="000000"/>
          <w:lang w:val="es-CO"/>
        </w:rPr>
        <w:t xml:space="preserve">a que se refiere </w:t>
      </w:r>
      <w:r w:rsidR="001775BF" w:rsidRPr="009A29D7">
        <w:rPr>
          <w:rFonts w:ascii="Verdana" w:eastAsia="Verdana" w:hAnsi="Verdana" w:cs="Verdana"/>
          <w:color w:val="000000"/>
          <w:lang w:val="es-CO"/>
        </w:rPr>
        <w:t>el artículo 1</w:t>
      </w:r>
      <w:r w:rsidR="00F46287">
        <w:rPr>
          <w:rFonts w:ascii="Verdana" w:eastAsia="Verdana" w:hAnsi="Verdana" w:cs="Verdana"/>
          <w:color w:val="000000"/>
          <w:lang w:val="es-CO"/>
        </w:rPr>
        <w:t>6</w:t>
      </w:r>
      <w:r w:rsidR="005415C9">
        <w:rPr>
          <w:rFonts w:ascii="Verdana" w:eastAsia="Verdana" w:hAnsi="Verdana" w:cs="Verdana"/>
          <w:color w:val="000000"/>
          <w:lang w:val="es-CO"/>
        </w:rPr>
        <w:t xml:space="preserve"> de la presente resolución, c</w:t>
      </w:r>
      <w:r w:rsidR="001775BF" w:rsidRPr="009A29D7">
        <w:rPr>
          <w:rFonts w:ascii="Verdana" w:eastAsia="Verdana" w:hAnsi="Verdana" w:cs="Verdana"/>
          <w:color w:val="000000"/>
          <w:lang w:val="es-CO"/>
        </w:rPr>
        <w:t>on base en criterios técnicos, la información disponible en la Plataforma ROE, el Inventario Nacional de GEI y su coherencia con otros instrumentos de política climática</w:t>
      </w:r>
      <w:r w:rsidR="007F070C">
        <w:rPr>
          <w:rFonts w:ascii="Verdana" w:eastAsia="Verdana" w:hAnsi="Verdana" w:cs="Verdana"/>
          <w:color w:val="000000"/>
          <w:lang w:val="es-CO"/>
        </w:rPr>
        <w:t xml:space="preserve">, así </w:t>
      </w:r>
      <w:r w:rsidR="001912A8">
        <w:rPr>
          <w:rFonts w:ascii="Verdana" w:eastAsia="Verdana" w:hAnsi="Verdana" w:cs="Verdana"/>
          <w:color w:val="000000"/>
          <w:lang w:val="es-CO"/>
        </w:rPr>
        <w:t>como con</w:t>
      </w:r>
      <w:r w:rsidR="0047726A">
        <w:rPr>
          <w:rFonts w:ascii="Verdana" w:eastAsia="Verdana" w:hAnsi="Verdana" w:cs="Verdana"/>
          <w:color w:val="000000"/>
          <w:lang w:val="es-CO"/>
        </w:rPr>
        <w:t xml:space="preserve"> </w:t>
      </w:r>
      <w:r w:rsidR="00542726">
        <w:rPr>
          <w:rFonts w:ascii="Verdana" w:eastAsia="Verdana" w:hAnsi="Verdana" w:cs="Verdana"/>
          <w:color w:val="000000"/>
          <w:lang w:val="es-CO"/>
        </w:rPr>
        <w:t>las r</w:t>
      </w:r>
      <w:r w:rsidR="001775BF" w:rsidRPr="009A29D7">
        <w:rPr>
          <w:rFonts w:ascii="Verdana" w:eastAsia="Verdana" w:hAnsi="Verdana" w:cs="Verdana"/>
          <w:color w:val="000000"/>
          <w:lang w:val="es-CO"/>
        </w:rPr>
        <w:t>ecomendaciones de la Unidad Técnica de Apoyo del ROE de que trata el artículo 3</w:t>
      </w:r>
      <w:r w:rsidR="000776CF">
        <w:rPr>
          <w:rFonts w:ascii="Verdana" w:eastAsia="Verdana" w:hAnsi="Verdana" w:cs="Verdana"/>
          <w:color w:val="000000"/>
          <w:lang w:val="es-CO"/>
        </w:rPr>
        <w:t>2</w:t>
      </w:r>
      <w:r w:rsidR="001775BF" w:rsidRPr="009A29D7">
        <w:rPr>
          <w:rFonts w:ascii="Verdana" w:eastAsia="Verdana" w:hAnsi="Verdana" w:cs="Verdana"/>
          <w:color w:val="000000"/>
          <w:lang w:val="es-CO"/>
        </w:rPr>
        <w:t xml:space="preserve"> de la presente resolución.</w:t>
      </w:r>
    </w:p>
    <w:p w14:paraId="1B618BF4" w14:textId="77777777" w:rsidR="00C7591A" w:rsidRPr="009A29D7" w:rsidRDefault="00C7591A" w:rsidP="001775BF">
      <w:pPr>
        <w:pBdr>
          <w:top w:val="nil"/>
          <w:left w:val="nil"/>
          <w:bottom w:val="nil"/>
          <w:right w:val="nil"/>
          <w:between w:val="nil"/>
        </w:pBdr>
        <w:spacing w:after="0"/>
        <w:jc w:val="both"/>
        <w:rPr>
          <w:rFonts w:ascii="Verdana" w:eastAsia="Verdana" w:hAnsi="Verdana" w:cs="Verdana"/>
          <w:color w:val="000000"/>
          <w:lang w:val="es-CO"/>
        </w:rPr>
      </w:pPr>
    </w:p>
    <w:p w14:paraId="665ACFF0" w14:textId="76A307D7" w:rsidR="00301A61" w:rsidRDefault="00EF4EBD">
      <w:pPr>
        <w:pBdr>
          <w:top w:val="nil"/>
          <w:left w:val="nil"/>
          <w:bottom w:val="nil"/>
          <w:right w:val="nil"/>
          <w:between w:val="nil"/>
        </w:pBdr>
        <w:spacing w:after="0"/>
        <w:jc w:val="both"/>
        <w:rPr>
          <w:rFonts w:ascii="Verdana" w:eastAsia="Verdana" w:hAnsi="Verdana" w:cs="Verdana"/>
          <w:color w:val="000000"/>
          <w:lang w:val="es-CO"/>
        </w:rPr>
      </w:pPr>
      <w:r>
        <w:rPr>
          <w:rFonts w:ascii="Verdana" w:eastAsia="Verdana" w:hAnsi="Verdana" w:cs="Verdana"/>
          <w:color w:val="000000"/>
          <w:lang w:val="es-CO"/>
        </w:rPr>
        <w:t xml:space="preserve">El Ministerio de Ambiente y Desarrollo Sostenible </w:t>
      </w:r>
      <w:r w:rsidR="00A42AC3">
        <w:rPr>
          <w:rFonts w:ascii="Verdana" w:eastAsia="Verdana" w:hAnsi="Verdana" w:cs="Verdana"/>
          <w:color w:val="000000"/>
          <w:lang w:val="es-CO"/>
        </w:rPr>
        <w:t>adoptará</w:t>
      </w:r>
      <w:r w:rsidR="00301A61">
        <w:rPr>
          <w:rFonts w:ascii="Verdana" w:eastAsia="Verdana" w:hAnsi="Verdana" w:cs="Verdana"/>
          <w:color w:val="000000"/>
          <w:lang w:val="es-CO"/>
        </w:rPr>
        <w:t xml:space="preserve"> l</w:t>
      </w:r>
      <w:r w:rsidR="00BB0DF3">
        <w:rPr>
          <w:rFonts w:ascii="Verdana" w:eastAsia="Verdana" w:hAnsi="Verdana" w:cs="Verdana"/>
          <w:color w:val="000000"/>
          <w:lang w:val="es-CO"/>
        </w:rPr>
        <w:t>a revisión</w:t>
      </w:r>
      <w:r w:rsidR="00301A61">
        <w:rPr>
          <w:rFonts w:ascii="Verdana" w:eastAsia="Verdana" w:hAnsi="Verdana" w:cs="Verdana"/>
          <w:color w:val="000000"/>
          <w:lang w:val="es-CO"/>
        </w:rPr>
        <w:t xml:space="preserve"> </w:t>
      </w:r>
      <w:r w:rsidR="002C08A3">
        <w:rPr>
          <w:rFonts w:ascii="Verdana" w:eastAsia="Verdana" w:hAnsi="Verdana" w:cs="Verdana"/>
          <w:color w:val="000000"/>
          <w:lang w:val="es-CO"/>
        </w:rPr>
        <w:t xml:space="preserve">y actualización </w:t>
      </w:r>
      <w:r w:rsidR="00301A61">
        <w:rPr>
          <w:rFonts w:ascii="Verdana" w:eastAsia="Verdana" w:hAnsi="Verdana" w:cs="Verdana"/>
          <w:color w:val="000000"/>
          <w:lang w:val="es-CO"/>
        </w:rPr>
        <w:t xml:space="preserve">del nivel de emisiones de GEI mediate acto administrativo, en el cual </w:t>
      </w:r>
      <w:r w:rsidR="00A42AC3">
        <w:rPr>
          <w:rFonts w:ascii="Verdana" w:eastAsia="Verdana" w:hAnsi="Verdana" w:cs="Verdana"/>
          <w:color w:val="000000"/>
          <w:lang w:val="es-CO"/>
        </w:rPr>
        <w:t>determinará</w:t>
      </w:r>
      <w:r w:rsidR="00301A61">
        <w:rPr>
          <w:rFonts w:ascii="Verdana" w:eastAsia="Verdana" w:hAnsi="Verdana" w:cs="Verdana"/>
          <w:color w:val="000000"/>
          <w:lang w:val="es-CO"/>
        </w:rPr>
        <w:t xml:space="preserve"> la fecha de la siguiente </w:t>
      </w:r>
      <w:r w:rsidR="00BB0DF3">
        <w:rPr>
          <w:rFonts w:ascii="Verdana" w:eastAsia="Verdana" w:hAnsi="Verdana" w:cs="Verdana"/>
          <w:color w:val="000000"/>
          <w:lang w:val="es-CO"/>
        </w:rPr>
        <w:t>revisión</w:t>
      </w:r>
      <w:r w:rsidR="002C08A3">
        <w:rPr>
          <w:rFonts w:ascii="Verdana" w:eastAsia="Verdana" w:hAnsi="Verdana" w:cs="Verdana"/>
          <w:color w:val="000000"/>
          <w:lang w:val="es-CO"/>
        </w:rPr>
        <w:t xml:space="preserve"> y actualización.</w:t>
      </w:r>
    </w:p>
    <w:p w14:paraId="3445CFA5" w14:textId="77777777" w:rsidR="000A3508" w:rsidRDefault="000A3508">
      <w:pPr>
        <w:pBdr>
          <w:top w:val="nil"/>
          <w:left w:val="nil"/>
          <w:bottom w:val="nil"/>
          <w:right w:val="nil"/>
          <w:between w:val="nil"/>
        </w:pBdr>
        <w:spacing w:after="0" w:line="240" w:lineRule="auto"/>
        <w:jc w:val="both"/>
        <w:rPr>
          <w:rFonts w:ascii="Verdana" w:eastAsia="Verdana" w:hAnsi="Verdana" w:cs="Verdana"/>
          <w:b/>
          <w:bCs/>
          <w:color w:val="000000"/>
        </w:rPr>
      </w:pPr>
    </w:p>
    <w:p w14:paraId="3445CFA6" w14:textId="1F26D79D" w:rsidR="000A3508" w:rsidRDefault="00880DC3">
      <w:pPr>
        <w:pBdr>
          <w:top w:val="nil"/>
          <w:left w:val="nil"/>
          <w:bottom w:val="nil"/>
          <w:right w:val="nil"/>
          <w:between w:val="nil"/>
        </w:pBdr>
        <w:spacing w:after="0" w:line="240" w:lineRule="auto"/>
        <w:jc w:val="both"/>
        <w:rPr>
          <w:rFonts w:ascii="Verdana" w:eastAsia="Verdana" w:hAnsi="Verdana" w:cs="Verdana"/>
          <w:b/>
          <w:bCs/>
          <w:color w:val="000000"/>
        </w:rPr>
      </w:pPr>
      <w:r>
        <w:rPr>
          <w:rFonts w:ascii="Verdana" w:eastAsia="Verdana" w:hAnsi="Verdana" w:cs="Verdana"/>
          <w:b/>
          <w:bCs/>
          <w:color w:val="000000"/>
        </w:rPr>
        <w:t>Artículo 1</w:t>
      </w:r>
      <w:r w:rsidR="007B39A6">
        <w:rPr>
          <w:rFonts w:ascii="Verdana" w:eastAsia="Verdana" w:hAnsi="Verdana" w:cs="Verdana"/>
          <w:b/>
          <w:bCs/>
          <w:color w:val="000000"/>
        </w:rPr>
        <w:t>3</w:t>
      </w:r>
      <w:r>
        <w:rPr>
          <w:rFonts w:ascii="Verdana" w:eastAsia="Verdana" w:hAnsi="Verdana" w:cs="Verdana"/>
          <w:b/>
          <w:bCs/>
          <w:color w:val="000000"/>
        </w:rPr>
        <w:t xml:space="preserve">. Tamaño de la empresa. </w:t>
      </w:r>
      <w:r>
        <w:rPr>
          <w:rFonts w:ascii="Verdana" w:eastAsia="Verdana" w:hAnsi="Verdana" w:cs="Verdana"/>
          <w:color w:val="000000"/>
        </w:rPr>
        <w:t>Estarán obligadas a reportar</w:t>
      </w:r>
      <w:r w:rsidR="005E19FC">
        <w:rPr>
          <w:rFonts w:ascii="Verdana" w:eastAsia="Verdana" w:hAnsi="Verdana" w:cs="Verdana"/>
          <w:color w:val="000000"/>
        </w:rPr>
        <w:t xml:space="preserve"> sus emisiones de GEI</w:t>
      </w:r>
      <w:r>
        <w:rPr>
          <w:rFonts w:ascii="Verdana" w:eastAsia="Verdana" w:hAnsi="Verdana" w:cs="Verdana"/>
          <w:color w:val="000000"/>
        </w:rPr>
        <w:t xml:space="preserve"> en el ROE, las personas jurídicas privadas o mixtas con capital público inferior al 50%, que clasifiquen como pequeña, mediana o gran empresa en concordancia con lo establecido en el Artículo 1 del Decreto 957 de 2019 o aquel que lo modifique o sustituya.</w:t>
      </w:r>
      <w:r>
        <w:rPr>
          <w:rFonts w:ascii="Verdana" w:eastAsia="Verdana" w:hAnsi="Verdana" w:cs="Verdana"/>
          <w:b/>
          <w:bCs/>
          <w:color w:val="000000"/>
        </w:rPr>
        <w:t xml:space="preserve"> </w:t>
      </w:r>
    </w:p>
    <w:p w14:paraId="3445CFA7" w14:textId="77777777" w:rsidR="000A3508" w:rsidRDefault="000A3508">
      <w:pPr>
        <w:pBdr>
          <w:top w:val="nil"/>
          <w:left w:val="nil"/>
          <w:bottom w:val="nil"/>
          <w:right w:val="nil"/>
          <w:between w:val="nil"/>
        </w:pBdr>
        <w:spacing w:after="0" w:line="240" w:lineRule="auto"/>
        <w:jc w:val="both"/>
        <w:rPr>
          <w:rFonts w:ascii="Verdana" w:eastAsia="Verdana" w:hAnsi="Verdana" w:cs="Verdana"/>
          <w:b/>
          <w:bCs/>
          <w:color w:val="000000"/>
        </w:rPr>
      </w:pPr>
    </w:p>
    <w:p w14:paraId="3445CFA8" w14:textId="23360D19" w:rsidR="000A3508" w:rsidRDefault="00880DC3">
      <w:pPr>
        <w:pBdr>
          <w:top w:val="nil"/>
          <w:left w:val="nil"/>
          <w:bottom w:val="nil"/>
          <w:right w:val="nil"/>
          <w:between w:val="nil"/>
        </w:pBdr>
        <w:spacing w:after="0" w:line="240" w:lineRule="auto"/>
        <w:jc w:val="both"/>
        <w:rPr>
          <w:rFonts w:ascii="Verdana" w:eastAsia="Verdana" w:hAnsi="Verdana" w:cs="Verdana"/>
          <w:color w:val="000000"/>
        </w:rPr>
      </w:pPr>
      <w:r>
        <w:rPr>
          <w:rFonts w:ascii="Verdana" w:eastAsia="Verdana" w:hAnsi="Verdana" w:cs="Verdana"/>
          <w:color w:val="000000"/>
        </w:rPr>
        <w:t>Las personas jurídicas privadas o mixtas clasificadas como microempresas de conformidad con el Artículo 1 del Decreto 957 de 2019 o el que lo modifique o sustituya, no est</w:t>
      </w:r>
      <w:r w:rsidR="005E19FC">
        <w:rPr>
          <w:rFonts w:ascii="Verdana" w:eastAsia="Verdana" w:hAnsi="Verdana" w:cs="Verdana"/>
          <w:color w:val="000000"/>
        </w:rPr>
        <w:t>arán</w:t>
      </w:r>
      <w:r>
        <w:rPr>
          <w:rFonts w:ascii="Verdana" w:eastAsia="Verdana" w:hAnsi="Verdana" w:cs="Verdana"/>
          <w:color w:val="000000"/>
        </w:rPr>
        <w:t xml:space="preserve"> obligadas a reportar las emisiones de GEI en el ROE.</w:t>
      </w:r>
    </w:p>
    <w:p w14:paraId="3445CFA9" w14:textId="77777777" w:rsidR="000A3508" w:rsidRDefault="000A3508">
      <w:pPr>
        <w:pBdr>
          <w:top w:val="nil"/>
          <w:left w:val="nil"/>
          <w:bottom w:val="nil"/>
          <w:right w:val="nil"/>
          <w:between w:val="nil"/>
        </w:pBdr>
        <w:spacing w:after="0" w:line="240" w:lineRule="auto"/>
        <w:jc w:val="both"/>
        <w:rPr>
          <w:rFonts w:ascii="Verdana" w:eastAsia="Verdana" w:hAnsi="Verdana" w:cs="Verdana"/>
          <w:color w:val="000000"/>
        </w:rPr>
      </w:pPr>
    </w:p>
    <w:p w14:paraId="3445CFAA" w14:textId="302A52BD" w:rsidR="000A3508" w:rsidRDefault="00880DC3">
      <w:pPr>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4</w:t>
      </w:r>
      <w:r>
        <w:rPr>
          <w:rFonts w:ascii="Verdana" w:eastAsia="Verdana" w:hAnsi="Verdana" w:cs="Verdana"/>
          <w:b/>
          <w:bCs/>
          <w:color w:val="000000"/>
        </w:rPr>
        <w:t>. Clasificación de la unidad del sector público.</w:t>
      </w:r>
      <w:r>
        <w:rPr>
          <w:rFonts w:ascii="Verdana" w:eastAsia="Verdana" w:hAnsi="Verdana" w:cs="Verdana"/>
          <w:color w:val="000000"/>
        </w:rPr>
        <w:t xml:space="preserve"> Las personas jurídicas públicas o mixtas con capital público </w:t>
      </w:r>
      <w:r w:rsidR="005E19FC">
        <w:rPr>
          <w:rFonts w:ascii="Verdana" w:eastAsia="Verdana" w:hAnsi="Verdana" w:cs="Verdana"/>
          <w:color w:val="000000"/>
        </w:rPr>
        <w:t xml:space="preserve">igual o </w:t>
      </w:r>
      <w:r>
        <w:rPr>
          <w:rFonts w:ascii="Verdana" w:eastAsia="Verdana" w:hAnsi="Verdana" w:cs="Verdana"/>
          <w:color w:val="000000"/>
        </w:rPr>
        <w:t xml:space="preserve">superior </w:t>
      </w:r>
      <w:r w:rsidR="005E19FC">
        <w:rPr>
          <w:rFonts w:ascii="Verdana" w:eastAsia="Verdana" w:hAnsi="Verdana" w:cs="Verdana"/>
          <w:color w:val="000000"/>
        </w:rPr>
        <w:t xml:space="preserve">al </w:t>
      </w:r>
      <w:r>
        <w:rPr>
          <w:rFonts w:ascii="Verdana" w:eastAsia="Verdana" w:hAnsi="Verdana" w:cs="Verdana"/>
          <w:color w:val="000000"/>
        </w:rPr>
        <w:t xml:space="preserve">50%, que clasifiquen como unidades de gobierno general del subsector central, departamental, municipal y de seguridad social, así como las sociedades públicas financieras y no financieras, estarán obligadas a cuantificar y reportar sus emisiones directas e indirectas de GEI en el ROE. </w:t>
      </w:r>
    </w:p>
    <w:p w14:paraId="3445CFAB" w14:textId="30F2E956" w:rsidR="000A3508" w:rsidRDefault="00880DC3">
      <w:pPr>
        <w:jc w:val="both"/>
        <w:rPr>
          <w:rFonts w:ascii="Verdana" w:eastAsia="Verdana" w:hAnsi="Verdana" w:cs="Verdana"/>
          <w:color w:val="000000"/>
        </w:rPr>
      </w:pPr>
      <w:r>
        <w:rPr>
          <w:rFonts w:ascii="Verdana" w:eastAsia="Verdana" w:hAnsi="Verdana" w:cs="Verdana"/>
          <w:color w:val="000000"/>
        </w:rPr>
        <w:t>No estarán obligadas a cuantificar y reportar las emisiones de GEI en el ROE,</w:t>
      </w:r>
      <w:r>
        <w:t xml:space="preserve"> </w:t>
      </w:r>
      <w:r>
        <w:rPr>
          <w:rFonts w:ascii="Verdana" w:eastAsia="Verdana" w:hAnsi="Verdana" w:cs="Verdana"/>
          <w:color w:val="000000"/>
        </w:rPr>
        <w:t>las personas jurídicas públicas que</w:t>
      </w:r>
      <w:r w:rsidR="005416E4">
        <w:rPr>
          <w:rFonts w:ascii="Verdana" w:eastAsia="Verdana" w:hAnsi="Verdana" w:cs="Verdana"/>
          <w:color w:val="000000"/>
        </w:rPr>
        <w:t xml:space="preserve">, de conformidad con </w:t>
      </w:r>
      <w:r>
        <w:rPr>
          <w:rFonts w:ascii="Verdana" w:eastAsia="Verdana" w:hAnsi="Verdana" w:cs="Verdana"/>
          <w:color w:val="000000"/>
        </w:rPr>
        <w:t>los criterios establecidos en la Ley 617 de 2000 y la resolución de</w:t>
      </w:r>
      <w:r w:rsidR="005416E4">
        <w:rPr>
          <w:rFonts w:ascii="Verdana" w:eastAsia="Verdana" w:hAnsi="Verdana" w:cs="Verdana"/>
          <w:color w:val="000000"/>
        </w:rPr>
        <w:t xml:space="preserve"> </w:t>
      </w:r>
      <w:r>
        <w:rPr>
          <w:rFonts w:ascii="Verdana" w:eastAsia="Verdana" w:hAnsi="Verdana" w:cs="Verdana"/>
          <w:color w:val="000000"/>
        </w:rPr>
        <w:t xml:space="preserve">categorización de las entidades territoriales expedida por la Contaduría General de la Nación, </w:t>
      </w:r>
      <w:r w:rsidR="005416E4">
        <w:rPr>
          <w:rFonts w:ascii="Verdana" w:eastAsia="Verdana" w:hAnsi="Verdana" w:cs="Verdana"/>
          <w:color w:val="000000"/>
        </w:rPr>
        <w:t xml:space="preserve">correspondan a </w:t>
      </w:r>
      <w:r>
        <w:rPr>
          <w:rFonts w:ascii="Verdana" w:eastAsia="Verdana" w:hAnsi="Verdana" w:cs="Verdana"/>
          <w:color w:val="000000"/>
        </w:rPr>
        <w:t>distritos y municipios de categorías 3, 4, 5 y 6 en el periodo de reporte correspondiente.</w:t>
      </w:r>
    </w:p>
    <w:p w14:paraId="3445CFAC" w14:textId="77777777" w:rsidR="000A3508" w:rsidRDefault="000A3508">
      <w:pPr>
        <w:pBdr>
          <w:top w:val="nil"/>
          <w:left w:val="nil"/>
          <w:bottom w:val="nil"/>
          <w:right w:val="nil"/>
          <w:between w:val="nil"/>
        </w:pBdr>
        <w:spacing w:after="0" w:line="240" w:lineRule="auto"/>
        <w:jc w:val="both"/>
        <w:rPr>
          <w:rFonts w:ascii="Verdana" w:eastAsia="Verdana" w:hAnsi="Verdana" w:cs="Verdana"/>
          <w:b/>
          <w:bCs/>
          <w:color w:val="000000"/>
        </w:rPr>
      </w:pPr>
    </w:p>
    <w:p w14:paraId="3445CFAD" w14:textId="7EC0A7A7" w:rsidR="000A3508" w:rsidRDefault="00000000">
      <w:pPr>
        <w:pBdr>
          <w:top w:val="nil"/>
          <w:left w:val="nil"/>
          <w:bottom w:val="nil"/>
          <w:right w:val="nil"/>
          <w:between w:val="nil"/>
        </w:pBdr>
        <w:spacing w:after="0" w:line="240" w:lineRule="auto"/>
        <w:jc w:val="both"/>
        <w:rPr>
          <w:rFonts w:ascii="Verdana" w:eastAsia="Verdana" w:hAnsi="Verdana" w:cs="Verdana"/>
          <w:color w:val="000000"/>
        </w:rPr>
      </w:pPr>
      <w:sdt>
        <w:sdtPr>
          <w:tag w:val="goog_rdk_91"/>
          <w:id w:val="1419957278"/>
        </w:sdtPr>
        <w:sdtContent/>
      </w:sdt>
      <w:r w:rsidR="00880DC3">
        <w:rPr>
          <w:rFonts w:ascii="Verdana" w:eastAsia="Verdana" w:hAnsi="Verdana" w:cs="Verdana"/>
          <w:b/>
          <w:bCs/>
          <w:color w:val="000000"/>
        </w:rPr>
        <w:t>Artículo 1</w:t>
      </w:r>
      <w:r w:rsidR="007B39A6">
        <w:rPr>
          <w:rFonts w:ascii="Verdana" w:eastAsia="Verdana" w:hAnsi="Verdana" w:cs="Verdana"/>
          <w:b/>
          <w:bCs/>
          <w:color w:val="000000"/>
        </w:rPr>
        <w:t>5</w:t>
      </w:r>
      <w:r w:rsidR="00880DC3">
        <w:rPr>
          <w:rFonts w:ascii="Verdana" w:eastAsia="Verdana" w:hAnsi="Verdana" w:cs="Verdana"/>
          <w:b/>
          <w:bCs/>
          <w:color w:val="000000"/>
        </w:rPr>
        <w:t>. Gradualidad de la obligación de cuantificación y reporte</w:t>
      </w:r>
      <w:r w:rsidR="00880DC3">
        <w:rPr>
          <w:rFonts w:ascii="Verdana" w:eastAsia="Verdana" w:hAnsi="Verdana" w:cs="Verdana"/>
          <w:color w:val="000000"/>
        </w:rPr>
        <w:t>. La obligación de cuantifica</w:t>
      </w:r>
      <w:r w:rsidR="003D2B5D">
        <w:rPr>
          <w:rFonts w:ascii="Verdana" w:eastAsia="Verdana" w:hAnsi="Verdana" w:cs="Verdana"/>
          <w:color w:val="000000"/>
        </w:rPr>
        <w:t>r</w:t>
      </w:r>
      <w:r w:rsidR="00880DC3">
        <w:rPr>
          <w:rFonts w:ascii="Verdana" w:eastAsia="Verdana" w:hAnsi="Verdana" w:cs="Verdana"/>
          <w:color w:val="000000"/>
        </w:rPr>
        <w:t xml:space="preserve"> y report</w:t>
      </w:r>
      <w:r w:rsidR="003D2B5D">
        <w:rPr>
          <w:rFonts w:ascii="Verdana" w:eastAsia="Verdana" w:hAnsi="Verdana" w:cs="Verdana"/>
          <w:color w:val="000000"/>
        </w:rPr>
        <w:t>ar</w:t>
      </w:r>
      <w:r w:rsidR="00880DC3">
        <w:rPr>
          <w:rFonts w:ascii="Verdana" w:eastAsia="Verdana" w:hAnsi="Verdana" w:cs="Verdana"/>
          <w:color w:val="000000"/>
        </w:rPr>
        <w:t xml:space="preserve"> las emisiones de GEI en el </w:t>
      </w:r>
      <w:r w:rsidR="003D2B5D">
        <w:rPr>
          <w:rFonts w:ascii="Verdana" w:eastAsia="Verdana" w:hAnsi="Verdana" w:cs="Verdana"/>
          <w:color w:val="000000"/>
        </w:rPr>
        <w:t xml:space="preserve">marco del </w:t>
      </w:r>
      <w:r w:rsidR="00880DC3">
        <w:rPr>
          <w:rFonts w:ascii="Verdana" w:eastAsia="Verdana" w:hAnsi="Verdana" w:cs="Verdana"/>
          <w:color w:val="000000"/>
        </w:rPr>
        <w:t xml:space="preserve">ROE se </w:t>
      </w:r>
      <w:r w:rsidR="003D2B5D">
        <w:rPr>
          <w:rFonts w:ascii="Verdana" w:eastAsia="Verdana" w:hAnsi="Verdana" w:cs="Verdana"/>
          <w:color w:val="000000"/>
        </w:rPr>
        <w:t xml:space="preserve">implementará de manera gradual, conforme a las </w:t>
      </w:r>
      <w:r w:rsidR="00880DC3">
        <w:rPr>
          <w:rFonts w:ascii="Verdana" w:eastAsia="Verdana" w:hAnsi="Verdana" w:cs="Verdana"/>
          <w:color w:val="000000"/>
        </w:rPr>
        <w:t>etapas</w:t>
      </w:r>
      <w:r w:rsidR="003D2B5D">
        <w:rPr>
          <w:rFonts w:ascii="Verdana" w:eastAsia="Verdana" w:hAnsi="Verdana" w:cs="Verdana"/>
          <w:color w:val="000000"/>
        </w:rPr>
        <w:t xml:space="preserve"> y condiciones </w:t>
      </w:r>
      <w:r w:rsidR="003D2B5D">
        <w:rPr>
          <w:rFonts w:ascii="Verdana" w:eastAsia="Verdana" w:hAnsi="Verdana" w:cs="Verdana"/>
          <w:color w:val="000000"/>
        </w:rPr>
        <w:lastRenderedPageBreak/>
        <w:t>establecidas en el artículo 1</w:t>
      </w:r>
      <w:r w:rsidR="00F46287">
        <w:rPr>
          <w:rFonts w:ascii="Verdana" w:eastAsia="Verdana" w:hAnsi="Verdana" w:cs="Verdana"/>
          <w:color w:val="000000"/>
        </w:rPr>
        <w:t>6</w:t>
      </w:r>
      <w:r w:rsidR="003D2B5D">
        <w:rPr>
          <w:rFonts w:ascii="Verdana" w:eastAsia="Verdana" w:hAnsi="Verdana" w:cs="Verdana"/>
          <w:color w:val="000000"/>
        </w:rPr>
        <w:t xml:space="preserve"> de la presente resolución, en aplicación de los criterios definidos</w:t>
      </w:r>
      <w:r w:rsidR="00880DC3">
        <w:rPr>
          <w:rFonts w:ascii="Verdana" w:eastAsia="Verdana" w:hAnsi="Verdana" w:cs="Verdana"/>
          <w:color w:val="000000"/>
        </w:rPr>
        <w:t xml:space="preserve"> en el artículo 1</w:t>
      </w:r>
      <w:r w:rsidR="00F46287">
        <w:rPr>
          <w:rFonts w:ascii="Verdana" w:eastAsia="Verdana" w:hAnsi="Verdana" w:cs="Verdana"/>
          <w:color w:val="000000"/>
        </w:rPr>
        <w:t>1</w:t>
      </w:r>
      <w:r w:rsidR="00880DC3">
        <w:rPr>
          <w:rFonts w:ascii="Verdana" w:eastAsia="Verdana" w:hAnsi="Verdana" w:cs="Verdana"/>
          <w:color w:val="000000"/>
        </w:rPr>
        <w:t>.</w:t>
      </w:r>
    </w:p>
    <w:p w14:paraId="3445CFAE" w14:textId="77777777" w:rsidR="000A3508" w:rsidRDefault="000A3508">
      <w:pPr>
        <w:pBdr>
          <w:top w:val="nil"/>
          <w:left w:val="nil"/>
          <w:bottom w:val="nil"/>
          <w:right w:val="nil"/>
          <w:between w:val="nil"/>
        </w:pBdr>
        <w:spacing w:after="0" w:line="240" w:lineRule="auto"/>
        <w:jc w:val="both"/>
        <w:rPr>
          <w:rFonts w:ascii="Verdana" w:eastAsia="Verdana" w:hAnsi="Verdana" w:cs="Verdana"/>
          <w:color w:val="000000"/>
        </w:rPr>
      </w:pPr>
    </w:p>
    <w:p w14:paraId="3445CFAF" w14:textId="769BA7E4" w:rsidR="000A3508" w:rsidRDefault="00AA78E1">
      <w:pPr>
        <w:pBdr>
          <w:top w:val="nil"/>
          <w:left w:val="nil"/>
          <w:bottom w:val="nil"/>
          <w:right w:val="nil"/>
          <w:between w:val="nil"/>
        </w:pBdr>
        <w:spacing w:after="0"/>
        <w:jc w:val="both"/>
        <w:rPr>
          <w:rFonts w:ascii="Verdana" w:eastAsia="Verdana" w:hAnsi="Verdana" w:cs="Verdana"/>
          <w:color w:val="000000"/>
        </w:rPr>
      </w:pPr>
      <w:r w:rsidRPr="00AA78E1">
        <w:rPr>
          <w:rFonts w:ascii="Verdana" w:eastAsia="Verdana" w:hAnsi="Verdana" w:cs="Verdana"/>
          <w:color w:val="000000"/>
        </w:rPr>
        <w:t>Una vez finalizadas las etapas de implementación previstas en el artículo 1</w:t>
      </w:r>
      <w:r w:rsidR="00F46287">
        <w:rPr>
          <w:rFonts w:ascii="Verdana" w:eastAsia="Verdana" w:hAnsi="Verdana" w:cs="Verdana"/>
          <w:color w:val="000000"/>
        </w:rPr>
        <w:t>6</w:t>
      </w:r>
      <w:r w:rsidRPr="00AA78E1">
        <w:rPr>
          <w:rFonts w:ascii="Verdana" w:eastAsia="Verdana" w:hAnsi="Verdana" w:cs="Verdana"/>
          <w:color w:val="000000"/>
        </w:rPr>
        <w:t xml:space="preserve">, la obligación de </w:t>
      </w:r>
      <w:r w:rsidR="00DF1DF2">
        <w:rPr>
          <w:rFonts w:ascii="Verdana" w:eastAsia="Verdana" w:hAnsi="Verdana" w:cs="Verdana"/>
          <w:color w:val="000000"/>
        </w:rPr>
        <w:t xml:space="preserve">cuantificar y </w:t>
      </w:r>
      <w:r w:rsidRPr="00AA78E1">
        <w:rPr>
          <w:rFonts w:ascii="Verdana" w:eastAsia="Verdana" w:hAnsi="Verdana" w:cs="Verdana"/>
          <w:color w:val="000000"/>
        </w:rPr>
        <w:t>report</w:t>
      </w:r>
      <w:r w:rsidR="00DF1DF2">
        <w:rPr>
          <w:rFonts w:ascii="Verdana" w:eastAsia="Verdana" w:hAnsi="Verdana" w:cs="Verdana"/>
          <w:color w:val="000000"/>
        </w:rPr>
        <w:t>ar</w:t>
      </w:r>
      <w:r w:rsidRPr="00AA78E1">
        <w:rPr>
          <w:rFonts w:ascii="Verdana" w:eastAsia="Verdana" w:hAnsi="Verdana" w:cs="Verdana"/>
          <w:color w:val="000000"/>
        </w:rPr>
        <w:t xml:space="preserve"> será exigible a todas las personas jurídicas que cumplan los criterios </w:t>
      </w:r>
      <w:r w:rsidR="00DF1DF2">
        <w:rPr>
          <w:rFonts w:ascii="Verdana" w:eastAsia="Verdana" w:hAnsi="Verdana" w:cs="Verdana"/>
          <w:color w:val="000000"/>
        </w:rPr>
        <w:t>establecidos en el artículo 1</w:t>
      </w:r>
      <w:r w:rsidR="00F46287">
        <w:rPr>
          <w:rFonts w:ascii="Verdana" w:eastAsia="Verdana" w:hAnsi="Verdana" w:cs="Verdana"/>
          <w:color w:val="000000"/>
        </w:rPr>
        <w:t>1</w:t>
      </w:r>
      <w:r w:rsidR="00DF1DF2">
        <w:rPr>
          <w:rFonts w:ascii="Verdana" w:eastAsia="Verdana" w:hAnsi="Verdana" w:cs="Verdana"/>
          <w:color w:val="000000"/>
        </w:rPr>
        <w:t xml:space="preserve"> de la</w:t>
      </w:r>
      <w:r w:rsidRPr="00AA78E1">
        <w:rPr>
          <w:rFonts w:ascii="Verdana" w:eastAsia="Verdana" w:hAnsi="Verdana" w:cs="Verdana"/>
          <w:color w:val="000000"/>
        </w:rPr>
        <w:t xml:space="preserve"> presente resolución</w:t>
      </w:r>
      <w:r w:rsidR="00762EAD">
        <w:rPr>
          <w:rFonts w:ascii="Verdana" w:eastAsia="Verdana" w:hAnsi="Verdana" w:cs="Verdana"/>
          <w:color w:val="000000"/>
        </w:rPr>
        <w:t>, o aquella que la modifique o sustituya</w:t>
      </w:r>
      <w:r w:rsidR="00880DC3">
        <w:rPr>
          <w:rFonts w:ascii="Verdana" w:eastAsia="Verdana" w:hAnsi="Verdana" w:cs="Verdana"/>
          <w:color w:val="000000"/>
        </w:rPr>
        <w:t xml:space="preserve">. </w:t>
      </w:r>
    </w:p>
    <w:p w14:paraId="3445CFB0" w14:textId="77777777" w:rsidR="000A3508" w:rsidRDefault="000A3508">
      <w:pPr>
        <w:pBdr>
          <w:top w:val="nil"/>
          <w:left w:val="nil"/>
          <w:bottom w:val="nil"/>
          <w:right w:val="nil"/>
          <w:between w:val="nil"/>
        </w:pBdr>
        <w:spacing w:after="0" w:line="240" w:lineRule="auto"/>
        <w:jc w:val="both"/>
        <w:rPr>
          <w:rFonts w:ascii="Verdana" w:eastAsia="Verdana" w:hAnsi="Verdana" w:cs="Verdana"/>
          <w:color w:val="000000"/>
          <w:sz w:val="24"/>
          <w:szCs w:val="24"/>
        </w:rPr>
      </w:pPr>
    </w:p>
    <w:p w14:paraId="2BB14922" w14:textId="24ECFF8F" w:rsidR="00E70E3C" w:rsidRDefault="00880DC3">
      <w:pPr>
        <w:spacing w:line="259" w:lineRule="auto"/>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6</w:t>
      </w:r>
      <w:r>
        <w:rPr>
          <w:rFonts w:ascii="Verdana" w:eastAsia="Verdana" w:hAnsi="Verdana" w:cs="Verdana"/>
          <w:b/>
          <w:bCs/>
          <w:color w:val="000000"/>
        </w:rPr>
        <w:t>. Aplicación de los criterios para la determinación de las personas jurídicas públicas, privadas o mixtas obligadas a reportar las emisiones de GEI</w:t>
      </w:r>
      <w:r w:rsidR="001A11E6">
        <w:rPr>
          <w:rFonts w:ascii="Verdana" w:eastAsia="Verdana" w:hAnsi="Verdana" w:cs="Verdana"/>
          <w:b/>
          <w:bCs/>
          <w:color w:val="000000"/>
        </w:rPr>
        <w:t xml:space="preserve"> en el </w:t>
      </w:r>
      <w:r>
        <w:rPr>
          <w:rFonts w:ascii="Verdana" w:eastAsia="Verdana" w:hAnsi="Verdana" w:cs="Verdana"/>
          <w:b/>
          <w:bCs/>
          <w:color w:val="000000"/>
        </w:rPr>
        <w:t>ROE:</w:t>
      </w:r>
      <w:r w:rsidR="00AD06FA">
        <w:rPr>
          <w:rFonts w:ascii="Verdana" w:eastAsia="Verdana" w:hAnsi="Verdana" w:cs="Verdana"/>
          <w:color w:val="000000"/>
        </w:rPr>
        <w:t xml:space="preserve"> L</w:t>
      </w:r>
      <w:r>
        <w:rPr>
          <w:rFonts w:ascii="Verdana" w:eastAsia="Verdana" w:hAnsi="Verdana" w:cs="Verdana"/>
          <w:color w:val="000000"/>
        </w:rPr>
        <w:t>a obligación de cuantificación y reporte de las emisiones directas e indirectas de</w:t>
      </w:r>
      <w:r w:rsidR="005416E4">
        <w:rPr>
          <w:rFonts w:ascii="Verdana" w:eastAsia="Verdana" w:hAnsi="Verdana" w:cs="Verdana"/>
          <w:color w:val="000000"/>
        </w:rPr>
        <w:t xml:space="preserve"> GEI</w:t>
      </w:r>
      <w:r>
        <w:rPr>
          <w:rFonts w:ascii="Verdana" w:eastAsia="Verdana" w:hAnsi="Verdana" w:cs="Verdana"/>
          <w:color w:val="000000"/>
        </w:rPr>
        <w:t xml:space="preserve"> a cargo de las personas jurídicas públicas, privadas o mixtas</w:t>
      </w:r>
      <w:r w:rsidR="005416E4">
        <w:rPr>
          <w:rFonts w:ascii="Verdana" w:eastAsia="Verdana" w:hAnsi="Verdana" w:cs="Verdana"/>
          <w:color w:val="000000"/>
        </w:rPr>
        <w:t>, se aplicará de manera gradual, conforme a las siguientes etapas y condiciones, en</w:t>
      </w:r>
      <w:r w:rsidR="00E25FA8">
        <w:rPr>
          <w:rFonts w:ascii="Verdana" w:eastAsia="Verdana" w:hAnsi="Verdana" w:cs="Verdana"/>
          <w:color w:val="000000"/>
        </w:rPr>
        <w:t xml:space="preserve"> concordancia con</w:t>
      </w:r>
      <w:r w:rsidR="005416E4">
        <w:rPr>
          <w:rFonts w:ascii="Verdana" w:eastAsia="Verdana" w:hAnsi="Verdana" w:cs="Verdana"/>
          <w:color w:val="000000"/>
        </w:rPr>
        <w:t xml:space="preserve"> los criterios definidos en los artículos 1</w:t>
      </w:r>
      <w:r w:rsidR="00F46287">
        <w:rPr>
          <w:rFonts w:ascii="Verdana" w:eastAsia="Verdana" w:hAnsi="Verdana" w:cs="Verdana"/>
          <w:color w:val="000000"/>
        </w:rPr>
        <w:t>1</w:t>
      </w:r>
      <w:r w:rsidR="005416E4">
        <w:rPr>
          <w:rFonts w:ascii="Verdana" w:eastAsia="Verdana" w:hAnsi="Verdana" w:cs="Verdana"/>
          <w:color w:val="000000"/>
        </w:rPr>
        <w:t>, 1</w:t>
      </w:r>
      <w:r w:rsidR="00F46287">
        <w:rPr>
          <w:rFonts w:ascii="Verdana" w:eastAsia="Verdana" w:hAnsi="Verdana" w:cs="Verdana"/>
          <w:color w:val="000000"/>
        </w:rPr>
        <w:t>2</w:t>
      </w:r>
      <w:r w:rsidR="005416E4">
        <w:rPr>
          <w:rFonts w:ascii="Verdana" w:eastAsia="Verdana" w:hAnsi="Verdana" w:cs="Verdana"/>
          <w:color w:val="000000"/>
        </w:rPr>
        <w:t>, 1</w:t>
      </w:r>
      <w:r w:rsidR="00F46287">
        <w:rPr>
          <w:rFonts w:ascii="Verdana" w:eastAsia="Verdana" w:hAnsi="Verdana" w:cs="Verdana"/>
          <w:color w:val="000000"/>
        </w:rPr>
        <w:t xml:space="preserve">3 </w:t>
      </w:r>
      <w:r w:rsidR="005416E4">
        <w:rPr>
          <w:rFonts w:ascii="Verdana" w:eastAsia="Verdana" w:hAnsi="Verdana" w:cs="Verdana"/>
          <w:color w:val="000000"/>
        </w:rPr>
        <w:t>y 1</w:t>
      </w:r>
      <w:r w:rsidR="00F46287">
        <w:rPr>
          <w:rFonts w:ascii="Verdana" w:eastAsia="Verdana" w:hAnsi="Verdana" w:cs="Verdana"/>
          <w:color w:val="000000"/>
        </w:rPr>
        <w:t>4</w:t>
      </w:r>
      <w:r w:rsidR="005416E4">
        <w:rPr>
          <w:rFonts w:ascii="Verdana" w:eastAsia="Verdana" w:hAnsi="Verdana" w:cs="Verdana"/>
          <w:color w:val="000000"/>
        </w:rPr>
        <w:t xml:space="preserve"> de la presente resolución</w:t>
      </w:r>
      <w:r w:rsidR="004A78B4">
        <w:rPr>
          <w:rFonts w:ascii="Verdana" w:eastAsia="Verdana" w:hAnsi="Verdana" w:cs="Verdana"/>
          <w:color w:val="000000"/>
        </w:rPr>
        <w:t>.</w:t>
      </w:r>
    </w:p>
    <w:p w14:paraId="3445CFB6" w14:textId="63984A66" w:rsidR="000A3508" w:rsidRDefault="00000000">
      <w:pPr>
        <w:spacing w:line="259" w:lineRule="auto"/>
        <w:jc w:val="center"/>
        <w:rPr>
          <w:rFonts w:ascii="Verdana" w:eastAsia="Verdana" w:hAnsi="Verdana" w:cs="Verdana"/>
          <w:b/>
          <w:bCs/>
          <w:color w:val="000000"/>
        </w:rPr>
      </w:pPr>
      <w:sdt>
        <w:sdtPr>
          <w:tag w:val="goog_rdk_94"/>
          <w:id w:val="1760716464"/>
          <w:showingPlcHdr/>
        </w:sdtPr>
        <w:sdtContent>
          <w:r w:rsidR="00A642AE">
            <w:t xml:space="preserve">     </w:t>
          </w:r>
        </w:sdtContent>
      </w:sdt>
      <w:r w:rsidR="00880DC3">
        <w:rPr>
          <w:rFonts w:ascii="Verdana" w:eastAsia="Verdana" w:hAnsi="Verdana" w:cs="Verdana"/>
          <w:b/>
          <w:bCs/>
          <w:color w:val="000000"/>
        </w:rPr>
        <w:t>Tabla 1. Aplicación de criterios para personas jurídicas privadas y mixtas con capital privado superior al 50%</w:t>
      </w:r>
    </w:p>
    <w:tbl>
      <w:tblPr>
        <w:tblStyle w:val="a0"/>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1485"/>
        <w:gridCol w:w="2336"/>
        <w:gridCol w:w="2047"/>
        <w:gridCol w:w="2047"/>
      </w:tblGrid>
      <w:tr w:rsidR="000A3508" w14:paraId="3445CFBC" w14:textId="77777777">
        <w:tc>
          <w:tcPr>
            <w:tcW w:w="915" w:type="dxa"/>
            <w:vAlign w:val="center"/>
          </w:tcPr>
          <w:p w14:paraId="3445CFB7"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Etapa</w:t>
            </w:r>
          </w:p>
        </w:tc>
        <w:tc>
          <w:tcPr>
            <w:tcW w:w="1485" w:type="dxa"/>
            <w:vAlign w:val="center"/>
          </w:tcPr>
          <w:p w14:paraId="3445CFB8"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Año de inicio de la obligación de reporte</w:t>
            </w:r>
          </w:p>
        </w:tc>
        <w:tc>
          <w:tcPr>
            <w:tcW w:w="2336" w:type="dxa"/>
            <w:vAlign w:val="center"/>
          </w:tcPr>
          <w:p w14:paraId="3445CFB9"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Personas jurídicas obligadas a reportar</w:t>
            </w:r>
          </w:p>
        </w:tc>
        <w:tc>
          <w:tcPr>
            <w:tcW w:w="2047" w:type="dxa"/>
            <w:vAlign w:val="center"/>
          </w:tcPr>
          <w:p w14:paraId="3445CFBA"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Periodo de reporte</w:t>
            </w:r>
          </w:p>
        </w:tc>
        <w:tc>
          <w:tcPr>
            <w:tcW w:w="2047" w:type="dxa"/>
            <w:vAlign w:val="center"/>
          </w:tcPr>
          <w:p w14:paraId="3445CFBB"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Emisiones a ser reportadas</w:t>
            </w:r>
          </w:p>
        </w:tc>
      </w:tr>
      <w:tr w:rsidR="000A3508" w14:paraId="3445CFC2" w14:textId="77777777">
        <w:tc>
          <w:tcPr>
            <w:tcW w:w="915" w:type="dxa"/>
            <w:vAlign w:val="center"/>
          </w:tcPr>
          <w:p w14:paraId="3445CFBD"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1</w:t>
            </w:r>
          </w:p>
        </w:tc>
        <w:tc>
          <w:tcPr>
            <w:tcW w:w="1485" w:type="dxa"/>
            <w:vAlign w:val="center"/>
          </w:tcPr>
          <w:p w14:paraId="3445CFBE"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2027</w:t>
            </w:r>
          </w:p>
        </w:tc>
        <w:tc>
          <w:tcPr>
            <w:tcW w:w="2336" w:type="dxa"/>
            <w:vAlign w:val="center"/>
          </w:tcPr>
          <w:p w14:paraId="3445CFBF" w14:textId="175152D0"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Grandes empresas, cuy</w:t>
            </w:r>
            <w:r w:rsidR="004A78B4">
              <w:rPr>
                <w:rFonts w:ascii="Verdana" w:eastAsia="Verdana" w:hAnsi="Verdana" w:cs="Verdana"/>
                <w:color w:val="000000"/>
                <w:sz w:val="20"/>
                <w:szCs w:val="20"/>
              </w:rPr>
              <w:t>o</w:t>
            </w:r>
            <w:r>
              <w:rPr>
                <w:rFonts w:ascii="Verdana" w:eastAsia="Verdana" w:hAnsi="Verdana" w:cs="Verdana"/>
                <w:color w:val="000000"/>
                <w:sz w:val="20"/>
                <w:szCs w:val="20"/>
              </w:rPr>
              <w:t>s</w:t>
            </w:r>
            <w:r w:rsidR="004A78B4">
              <w:rPr>
                <w:rFonts w:ascii="Verdana" w:eastAsia="Verdana" w:hAnsi="Verdana" w:cs="Verdana"/>
                <w:color w:val="000000"/>
                <w:sz w:val="20"/>
                <w:szCs w:val="20"/>
              </w:rPr>
              <w:t xml:space="preserve"> niveles de</w:t>
            </w:r>
            <w:r>
              <w:rPr>
                <w:rFonts w:ascii="Verdana" w:eastAsia="Verdana" w:hAnsi="Verdana" w:cs="Verdana"/>
                <w:color w:val="000000"/>
                <w:sz w:val="20"/>
                <w:szCs w:val="20"/>
              </w:rPr>
              <w:t xml:space="preserve"> emisiones directas e indirectas de GEI por energía adquirida</w:t>
            </w:r>
            <w:r w:rsidR="004A78B4">
              <w:rPr>
                <w:rFonts w:ascii="Verdana" w:eastAsia="Verdana" w:hAnsi="Verdana" w:cs="Verdana"/>
                <w:color w:val="000000"/>
                <w:sz w:val="20"/>
                <w:szCs w:val="20"/>
              </w:rPr>
              <w:t>, expresados en tCO</w:t>
            </w:r>
            <w:r w:rsidR="004A78B4" w:rsidRPr="004A78B4">
              <w:rPr>
                <w:rFonts w:ascii="Verdana" w:eastAsia="Verdana" w:hAnsi="Verdana" w:cs="Verdana"/>
                <w:color w:val="000000"/>
                <w:sz w:val="20"/>
                <w:szCs w:val="20"/>
                <w:vertAlign w:val="subscript"/>
              </w:rPr>
              <w:t>2</w:t>
            </w:r>
            <w:r w:rsidR="004A78B4">
              <w:rPr>
                <w:rFonts w:ascii="Verdana" w:eastAsia="Verdana" w:hAnsi="Verdana" w:cs="Verdana"/>
                <w:color w:val="000000"/>
                <w:sz w:val="20"/>
                <w:szCs w:val="20"/>
              </w:rPr>
              <w:t>eq,</w:t>
            </w:r>
            <w:r>
              <w:rPr>
                <w:rFonts w:ascii="Verdana" w:eastAsia="Verdana" w:hAnsi="Verdana" w:cs="Verdana"/>
                <w:color w:val="000000"/>
                <w:sz w:val="20"/>
                <w:szCs w:val="20"/>
              </w:rPr>
              <w:t xml:space="preserve"> 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023385">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4A78B4">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047" w:type="dxa"/>
            <w:vAlign w:val="center"/>
          </w:tcPr>
          <w:p w14:paraId="3445CFC0" w14:textId="5F5696F7" w:rsidR="000A3508" w:rsidRDefault="00073829">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Correspondiente al periodo comprendido entre </w:t>
            </w:r>
            <w:r w:rsidR="00880DC3">
              <w:rPr>
                <w:rFonts w:ascii="Verdana" w:eastAsia="Verdana" w:hAnsi="Verdana" w:cs="Verdana"/>
                <w:color w:val="000000"/>
                <w:sz w:val="20"/>
                <w:szCs w:val="20"/>
              </w:rPr>
              <w:t>1 de enero al 31 de diciembre de 2026.</w:t>
            </w:r>
          </w:p>
        </w:tc>
        <w:tc>
          <w:tcPr>
            <w:tcW w:w="2047" w:type="dxa"/>
            <w:vAlign w:val="center"/>
          </w:tcPr>
          <w:p w14:paraId="3445CFC1" w14:textId="77777777"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por energía adquirida generadas en el periodo de reporte.</w:t>
            </w:r>
          </w:p>
        </w:tc>
      </w:tr>
      <w:tr w:rsidR="000A3508" w14:paraId="3445CFC8" w14:textId="77777777">
        <w:tc>
          <w:tcPr>
            <w:tcW w:w="915" w:type="dxa"/>
            <w:vAlign w:val="center"/>
          </w:tcPr>
          <w:p w14:paraId="3445CFC3"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w:t>
            </w:r>
          </w:p>
        </w:tc>
        <w:tc>
          <w:tcPr>
            <w:tcW w:w="1485" w:type="dxa"/>
            <w:vAlign w:val="center"/>
          </w:tcPr>
          <w:p w14:paraId="3445CFC4"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2028</w:t>
            </w:r>
          </w:p>
        </w:tc>
        <w:tc>
          <w:tcPr>
            <w:tcW w:w="2336" w:type="dxa"/>
            <w:vAlign w:val="center"/>
          </w:tcPr>
          <w:p w14:paraId="3445CFC5" w14:textId="2CDA53F8"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Grandes y medianas empresas, cuy</w:t>
            </w:r>
            <w:r w:rsidR="00073829">
              <w:rPr>
                <w:rFonts w:ascii="Verdana" w:eastAsia="Verdana" w:hAnsi="Verdana" w:cs="Verdana"/>
                <w:color w:val="000000"/>
                <w:sz w:val="20"/>
                <w:szCs w:val="20"/>
              </w:rPr>
              <w:t>o</w:t>
            </w:r>
            <w:r>
              <w:rPr>
                <w:rFonts w:ascii="Verdana" w:eastAsia="Verdana" w:hAnsi="Verdana" w:cs="Verdana"/>
                <w:color w:val="000000"/>
                <w:sz w:val="20"/>
                <w:szCs w:val="20"/>
              </w:rPr>
              <w:t xml:space="preserve">s </w:t>
            </w:r>
            <w:r w:rsidR="00073829">
              <w:rPr>
                <w:rFonts w:ascii="Verdana" w:eastAsia="Verdana" w:hAnsi="Verdana" w:cs="Verdana"/>
                <w:color w:val="000000"/>
                <w:sz w:val="20"/>
                <w:szCs w:val="20"/>
              </w:rPr>
              <w:t xml:space="preserve">niveles de </w:t>
            </w:r>
            <w:r>
              <w:rPr>
                <w:rFonts w:ascii="Verdana" w:eastAsia="Verdana" w:hAnsi="Verdana" w:cs="Verdana"/>
                <w:color w:val="000000"/>
                <w:sz w:val="20"/>
                <w:szCs w:val="20"/>
              </w:rPr>
              <w:t>emisiones directas e indirectas de GEI por energía adquirida</w:t>
            </w:r>
            <w:r w:rsidR="00073829">
              <w:rPr>
                <w:rFonts w:ascii="Verdana" w:eastAsia="Verdana" w:hAnsi="Verdana" w:cs="Verdana"/>
                <w:color w:val="000000"/>
                <w:sz w:val="20"/>
                <w:szCs w:val="20"/>
              </w:rPr>
              <w:t>, expresados en tCO</w:t>
            </w:r>
            <w:r w:rsidR="00073829" w:rsidRPr="004A78B4">
              <w:rPr>
                <w:rFonts w:ascii="Verdana" w:eastAsia="Verdana" w:hAnsi="Verdana" w:cs="Verdana"/>
                <w:color w:val="000000"/>
                <w:sz w:val="20"/>
                <w:szCs w:val="20"/>
                <w:vertAlign w:val="subscript"/>
              </w:rPr>
              <w:t>2</w:t>
            </w:r>
            <w:r w:rsidR="00073829">
              <w:rPr>
                <w:rFonts w:ascii="Verdana" w:eastAsia="Verdana" w:hAnsi="Verdana" w:cs="Verdana"/>
                <w:color w:val="000000"/>
                <w:sz w:val="20"/>
                <w:szCs w:val="20"/>
              </w:rPr>
              <w:t>eq,</w:t>
            </w:r>
            <w:r>
              <w:rPr>
                <w:rFonts w:ascii="Verdana" w:eastAsia="Verdana" w:hAnsi="Verdana" w:cs="Verdana"/>
                <w:color w:val="000000"/>
                <w:sz w:val="20"/>
                <w:szCs w:val="20"/>
              </w:rPr>
              <w:t xml:space="preserve"> 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023385">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073829">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047" w:type="dxa"/>
            <w:vAlign w:val="center"/>
          </w:tcPr>
          <w:p w14:paraId="3445CFC6" w14:textId="3FC15AA7" w:rsidR="000A3508" w:rsidRDefault="00073829">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Correspondiente al periodo comprendido entre </w:t>
            </w:r>
            <w:r w:rsidR="00880DC3">
              <w:rPr>
                <w:rFonts w:ascii="Verdana" w:eastAsia="Verdana" w:hAnsi="Verdana" w:cs="Verdana"/>
                <w:color w:val="000000"/>
                <w:sz w:val="20"/>
                <w:szCs w:val="20"/>
              </w:rPr>
              <w:t>1 de enero al 31 de diciembre de 2027.</w:t>
            </w:r>
          </w:p>
        </w:tc>
        <w:tc>
          <w:tcPr>
            <w:tcW w:w="2047" w:type="dxa"/>
            <w:vAlign w:val="center"/>
          </w:tcPr>
          <w:p w14:paraId="3445CFC7" w14:textId="77777777"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por energía adquirida generadas en el periodo de reporte.</w:t>
            </w:r>
          </w:p>
        </w:tc>
      </w:tr>
      <w:tr w:rsidR="000A3508" w14:paraId="3445CFCE" w14:textId="77777777">
        <w:tc>
          <w:tcPr>
            <w:tcW w:w="915" w:type="dxa"/>
            <w:vAlign w:val="center"/>
          </w:tcPr>
          <w:p w14:paraId="3445CFC9"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3</w:t>
            </w:r>
          </w:p>
        </w:tc>
        <w:tc>
          <w:tcPr>
            <w:tcW w:w="1485" w:type="dxa"/>
            <w:vAlign w:val="center"/>
          </w:tcPr>
          <w:p w14:paraId="3445CFCA"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2029</w:t>
            </w:r>
          </w:p>
        </w:tc>
        <w:tc>
          <w:tcPr>
            <w:tcW w:w="2336" w:type="dxa"/>
            <w:vAlign w:val="center"/>
          </w:tcPr>
          <w:p w14:paraId="3445CFCB" w14:textId="48937B5C"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Grandes, medianas y pequeñas empresas, cuy</w:t>
            </w:r>
            <w:r w:rsidR="00073829">
              <w:rPr>
                <w:rFonts w:ascii="Verdana" w:eastAsia="Verdana" w:hAnsi="Verdana" w:cs="Verdana"/>
                <w:color w:val="000000"/>
                <w:sz w:val="20"/>
                <w:szCs w:val="20"/>
              </w:rPr>
              <w:t>o</w:t>
            </w:r>
            <w:r>
              <w:rPr>
                <w:rFonts w:ascii="Verdana" w:eastAsia="Verdana" w:hAnsi="Verdana" w:cs="Verdana"/>
                <w:color w:val="000000"/>
                <w:sz w:val="20"/>
                <w:szCs w:val="20"/>
              </w:rPr>
              <w:t xml:space="preserve">s </w:t>
            </w:r>
            <w:r w:rsidR="00073829">
              <w:rPr>
                <w:rFonts w:ascii="Verdana" w:eastAsia="Verdana" w:hAnsi="Verdana" w:cs="Verdana"/>
                <w:color w:val="000000"/>
                <w:sz w:val="20"/>
                <w:szCs w:val="20"/>
              </w:rPr>
              <w:t xml:space="preserve">niveles de </w:t>
            </w:r>
            <w:r>
              <w:rPr>
                <w:rFonts w:ascii="Verdana" w:eastAsia="Verdana" w:hAnsi="Verdana" w:cs="Verdana"/>
                <w:color w:val="000000"/>
                <w:sz w:val="20"/>
                <w:szCs w:val="20"/>
              </w:rPr>
              <w:t>emisiones directas e indirectas de GEI por energía adquirida</w:t>
            </w:r>
            <w:r w:rsidR="00073829">
              <w:rPr>
                <w:rFonts w:ascii="Verdana" w:eastAsia="Verdana" w:hAnsi="Verdana" w:cs="Verdana"/>
                <w:color w:val="000000"/>
                <w:sz w:val="20"/>
                <w:szCs w:val="20"/>
              </w:rPr>
              <w:t>, expresados en tCO</w:t>
            </w:r>
            <w:r w:rsidR="00073829" w:rsidRPr="004A78B4">
              <w:rPr>
                <w:rFonts w:ascii="Verdana" w:eastAsia="Verdana" w:hAnsi="Verdana" w:cs="Verdana"/>
                <w:color w:val="000000"/>
                <w:sz w:val="20"/>
                <w:szCs w:val="20"/>
                <w:vertAlign w:val="subscript"/>
              </w:rPr>
              <w:t>2</w:t>
            </w:r>
            <w:r w:rsidR="00073829">
              <w:rPr>
                <w:rFonts w:ascii="Verdana" w:eastAsia="Verdana" w:hAnsi="Verdana" w:cs="Verdana"/>
                <w:color w:val="000000"/>
                <w:sz w:val="20"/>
                <w:szCs w:val="20"/>
              </w:rPr>
              <w:t xml:space="preserve">eq, </w:t>
            </w:r>
            <w:r>
              <w:rPr>
                <w:rFonts w:ascii="Verdana" w:eastAsia="Verdana" w:hAnsi="Verdana" w:cs="Verdana"/>
                <w:color w:val="000000"/>
                <w:sz w:val="20"/>
                <w:szCs w:val="20"/>
              </w:rPr>
              <w:t>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D60847">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073829">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047" w:type="dxa"/>
            <w:vAlign w:val="center"/>
          </w:tcPr>
          <w:p w14:paraId="3445CFCC" w14:textId="43732B0B" w:rsidR="000A3508" w:rsidRDefault="00073829">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Correspondiente al periodo comprendido entre </w:t>
            </w:r>
            <w:r w:rsidR="00880DC3">
              <w:rPr>
                <w:rFonts w:ascii="Verdana" w:eastAsia="Verdana" w:hAnsi="Verdana" w:cs="Verdana"/>
                <w:color w:val="000000"/>
                <w:sz w:val="20"/>
                <w:szCs w:val="20"/>
              </w:rPr>
              <w:t>1 de enero al 31 de diciembre de 2028.</w:t>
            </w:r>
          </w:p>
        </w:tc>
        <w:tc>
          <w:tcPr>
            <w:tcW w:w="2047" w:type="dxa"/>
            <w:vAlign w:val="center"/>
          </w:tcPr>
          <w:p w14:paraId="3445CFCD" w14:textId="77777777" w:rsidR="000A3508" w:rsidRDefault="00880DC3">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en el periodo de reporte.</w:t>
            </w:r>
          </w:p>
        </w:tc>
      </w:tr>
    </w:tbl>
    <w:p w14:paraId="3445CFCF" w14:textId="77777777" w:rsidR="000A3508" w:rsidRDefault="000A3508">
      <w:pPr>
        <w:spacing w:line="259" w:lineRule="auto"/>
        <w:jc w:val="both"/>
        <w:rPr>
          <w:rFonts w:ascii="Verdana" w:eastAsia="Verdana" w:hAnsi="Verdana" w:cs="Verdana"/>
          <w:color w:val="000000"/>
        </w:rPr>
      </w:pPr>
    </w:p>
    <w:p w14:paraId="3445CFD0" w14:textId="5239848F" w:rsidR="000A3508" w:rsidRDefault="00880DC3">
      <w:pPr>
        <w:spacing w:line="259" w:lineRule="auto"/>
        <w:jc w:val="center"/>
        <w:rPr>
          <w:rFonts w:ascii="Verdana" w:eastAsia="Verdana" w:hAnsi="Verdana" w:cs="Verdana"/>
          <w:b/>
          <w:bCs/>
          <w:color w:val="000000"/>
        </w:rPr>
      </w:pPr>
      <w:r>
        <w:rPr>
          <w:rFonts w:ascii="Verdana" w:eastAsia="Verdana" w:hAnsi="Verdana" w:cs="Verdana"/>
          <w:b/>
          <w:bCs/>
          <w:color w:val="000000"/>
        </w:rPr>
        <w:lastRenderedPageBreak/>
        <w:t xml:space="preserve">Tabla 2. Aplicación de criterios para personas jurídicas públicas y mixtas con capital público </w:t>
      </w:r>
      <w:r w:rsidR="00073829">
        <w:rPr>
          <w:rFonts w:ascii="Verdana" w:eastAsia="Verdana" w:hAnsi="Verdana" w:cs="Verdana"/>
          <w:b/>
          <w:bCs/>
          <w:color w:val="000000"/>
        </w:rPr>
        <w:t xml:space="preserve">igual o </w:t>
      </w:r>
      <w:r>
        <w:rPr>
          <w:rFonts w:ascii="Verdana" w:eastAsia="Verdana" w:hAnsi="Verdana" w:cs="Verdana"/>
          <w:b/>
          <w:bCs/>
          <w:color w:val="000000"/>
        </w:rPr>
        <w:t>superior al 50%</w:t>
      </w:r>
    </w:p>
    <w:tbl>
      <w:tblPr>
        <w:tblStyle w:val="a1"/>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7"/>
        <w:gridCol w:w="1485"/>
        <w:gridCol w:w="2271"/>
        <w:gridCol w:w="2112"/>
        <w:gridCol w:w="2045"/>
      </w:tblGrid>
      <w:tr w:rsidR="000A3508" w14:paraId="3445CFD6" w14:textId="77777777" w:rsidTr="00D60847">
        <w:trPr>
          <w:tblHeader/>
        </w:trPr>
        <w:tc>
          <w:tcPr>
            <w:tcW w:w="917" w:type="dxa"/>
            <w:vAlign w:val="center"/>
          </w:tcPr>
          <w:p w14:paraId="3445CFD1"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Etapa</w:t>
            </w:r>
          </w:p>
        </w:tc>
        <w:tc>
          <w:tcPr>
            <w:tcW w:w="1485" w:type="dxa"/>
            <w:vAlign w:val="center"/>
          </w:tcPr>
          <w:p w14:paraId="3445CFD2"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Año de inicio de la obligación de reporte</w:t>
            </w:r>
          </w:p>
        </w:tc>
        <w:tc>
          <w:tcPr>
            <w:tcW w:w="2271" w:type="dxa"/>
            <w:vAlign w:val="center"/>
          </w:tcPr>
          <w:p w14:paraId="3445CFD3"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Personas jurídicas obligadas a reportar</w:t>
            </w:r>
          </w:p>
        </w:tc>
        <w:tc>
          <w:tcPr>
            <w:tcW w:w="2112" w:type="dxa"/>
            <w:vAlign w:val="center"/>
          </w:tcPr>
          <w:p w14:paraId="3445CFD4"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Periodo de reporte</w:t>
            </w:r>
          </w:p>
        </w:tc>
        <w:tc>
          <w:tcPr>
            <w:tcW w:w="2045" w:type="dxa"/>
            <w:vAlign w:val="center"/>
          </w:tcPr>
          <w:p w14:paraId="3445CFD5" w14:textId="77777777" w:rsidR="000A3508" w:rsidRDefault="00880DC3">
            <w:pPr>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Emisiones a ser reportadas</w:t>
            </w:r>
          </w:p>
        </w:tc>
      </w:tr>
      <w:tr w:rsidR="000A3508" w14:paraId="3445CFDC" w14:textId="77777777" w:rsidTr="00D60847">
        <w:tc>
          <w:tcPr>
            <w:tcW w:w="917" w:type="dxa"/>
            <w:vAlign w:val="center"/>
          </w:tcPr>
          <w:p w14:paraId="3445CFD7"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1</w:t>
            </w:r>
          </w:p>
        </w:tc>
        <w:tc>
          <w:tcPr>
            <w:tcW w:w="1485" w:type="dxa"/>
            <w:vAlign w:val="center"/>
          </w:tcPr>
          <w:p w14:paraId="3445CFD8"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2027</w:t>
            </w:r>
          </w:p>
        </w:tc>
        <w:tc>
          <w:tcPr>
            <w:tcW w:w="2271" w:type="dxa"/>
            <w:vAlign w:val="center"/>
          </w:tcPr>
          <w:p w14:paraId="3445CFD9" w14:textId="5D1F8DC6"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Organizaciones clasificadas como unidades de gobierno general del subsector </w:t>
            </w:r>
            <w:r w:rsidR="00D60847">
              <w:rPr>
                <w:rFonts w:ascii="Verdana" w:eastAsia="Verdana" w:hAnsi="Verdana" w:cs="Verdana"/>
                <w:color w:val="000000"/>
                <w:sz w:val="20"/>
                <w:szCs w:val="20"/>
              </w:rPr>
              <w:t>g</w:t>
            </w:r>
            <w:r>
              <w:rPr>
                <w:rFonts w:ascii="Verdana" w:eastAsia="Verdana" w:hAnsi="Verdana" w:cs="Verdana"/>
                <w:color w:val="000000"/>
                <w:sz w:val="20"/>
                <w:szCs w:val="20"/>
              </w:rPr>
              <w:t xml:space="preserve">obierno </w:t>
            </w:r>
            <w:r w:rsidR="00D60847">
              <w:rPr>
                <w:rFonts w:ascii="Verdana" w:eastAsia="Verdana" w:hAnsi="Verdana" w:cs="Verdana"/>
                <w:color w:val="000000"/>
                <w:sz w:val="20"/>
                <w:szCs w:val="20"/>
              </w:rPr>
              <w:t>c</w:t>
            </w:r>
            <w:r>
              <w:rPr>
                <w:rFonts w:ascii="Verdana" w:eastAsia="Verdana" w:hAnsi="Verdana" w:cs="Verdana"/>
                <w:color w:val="000000"/>
                <w:sz w:val="20"/>
                <w:szCs w:val="20"/>
              </w:rPr>
              <w:t>entral, cuy</w:t>
            </w:r>
            <w:r w:rsidR="00D60847">
              <w:rPr>
                <w:rFonts w:ascii="Verdana" w:eastAsia="Verdana" w:hAnsi="Verdana" w:cs="Verdana"/>
                <w:color w:val="000000"/>
                <w:sz w:val="20"/>
                <w:szCs w:val="20"/>
              </w:rPr>
              <w:t>o</w:t>
            </w:r>
            <w:r>
              <w:rPr>
                <w:rFonts w:ascii="Verdana" w:eastAsia="Verdana" w:hAnsi="Verdana" w:cs="Verdana"/>
                <w:color w:val="000000"/>
                <w:sz w:val="20"/>
                <w:szCs w:val="20"/>
              </w:rPr>
              <w:t xml:space="preserve">s </w:t>
            </w:r>
            <w:r w:rsidR="00D60847">
              <w:rPr>
                <w:rFonts w:ascii="Verdana" w:eastAsia="Verdana" w:hAnsi="Verdana" w:cs="Verdana"/>
                <w:color w:val="000000"/>
                <w:sz w:val="20"/>
                <w:szCs w:val="20"/>
              </w:rPr>
              <w:t xml:space="preserve">niveles de </w:t>
            </w:r>
            <w:r>
              <w:rPr>
                <w:rFonts w:ascii="Verdana" w:eastAsia="Verdana" w:hAnsi="Verdana" w:cs="Verdana"/>
                <w:color w:val="000000"/>
                <w:sz w:val="20"/>
                <w:szCs w:val="20"/>
              </w:rPr>
              <w:t>emisiones directas e indirectas de GEI por energía adquirida</w:t>
            </w:r>
            <w:r w:rsidR="00D60847">
              <w:rPr>
                <w:rFonts w:ascii="Verdana" w:eastAsia="Verdana" w:hAnsi="Verdana" w:cs="Verdana"/>
                <w:color w:val="000000"/>
                <w:sz w:val="20"/>
                <w:szCs w:val="20"/>
              </w:rPr>
              <w:t>, expresados en tCO</w:t>
            </w:r>
            <w:r w:rsidR="00D60847" w:rsidRPr="004A78B4">
              <w:rPr>
                <w:rFonts w:ascii="Verdana" w:eastAsia="Verdana" w:hAnsi="Verdana" w:cs="Verdana"/>
                <w:color w:val="000000"/>
                <w:sz w:val="20"/>
                <w:szCs w:val="20"/>
                <w:vertAlign w:val="subscript"/>
              </w:rPr>
              <w:t>2</w:t>
            </w:r>
            <w:r w:rsidR="00D60847">
              <w:rPr>
                <w:rFonts w:ascii="Verdana" w:eastAsia="Verdana" w:hAnsi="Verdana" w:cs="Verdana"/>
                <w:color w:val="000000"/>
                <w:sz w:val="20"/>
                <w:szCs w:val="20"/>
              </w:rPr>
              <w:t>eq,</w:t>
            </w:r>
            <w:r>
              <w:rPr>
                <w:rFonts w:ascii="Verdana" w:eastAsia="Verdana" w:hAnsi="Verdana" w:cs="Verdana"/>
                <w:color w:val="000000"/>
                <w:sz w:val="20"/>
                <w:szCs w:val="20"/>
              </w:rPr>
              <w:t xml:space="preserve"> 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D60847">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D60847">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112" w:type="dxa"/>
            <w:vAlign w:val="center"/>
          </w:tcPr>
          <w:p w14:paraId="3445CFDA" w14:textId="00EBE746" w:rsidR="000A3508" w:rsidRDefault="00073829"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Correspondiente al periodo comprendido entre </w:t>
            </w:r>
            <w:r w:rsidR="00880DC3">
              <w:rPr>
                <w:rFonts w:ascii="Verdana" w:eastAsia="Verdana" w:hAnsi="Verdana" w:cs="Verdana"/>
                <w:color w:val="000000"/>
                <w:sz w:val="20"/>
                <w:szCs w:val="20"/>
              </w:rPr>
              <w:t>1 de enero al 31 de diciembre de 2026.</w:t>
            </w:r>
          </w:p>
        </w:tc>
        <w:tc>
          <w:tcPr>
            <w:tcW w:w="2045" w:type="dxa"/>
            <w:vAlign w:val="center"/>
          </w:tcPr>
          <w:p w14:paraId="3445CFDB" w14:textId="77777777"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por energía adquirida generadas en el periodo de reporte.</w:t>
            </w:r>
          </w:p>
        </w:tc>
      </w:tr>
      <w:tr w:rsidR="000A3508" w14:paraId="3445CFE2" w14:textId="77777777" w:rsidTr="00D60847">
        <w:tc>
          <w:tcPr>
            <w:tcW w:w="917" w:type="dxa"/>
            <w:vAlign w:val="center"/>
          </w:tcPr>
          <w:p w14:paraId="3445CFDD"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w:t>
            </w:r>
          </w:p>
        </w:tc>
        <w:tc>
          <w:tcPr>
            <w:tcW w:w="1485" w:type="dxa"/>
            <w:vAlign w:val="center"/>
          </w:tcPr>
          <w:p w14:paraId="3445CFDE"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2028</w:t>
            </w:r>
          </w:p>
        </w:tc>
        <w:tc>
          <w:tcPr>
            <w:tcW w:w="2271" w:type="dxa"/>
            <w:vAlign w:val="center"/>
          </w:tcPr>
          <w:p w14:paraId="3445CFDF" w14:textId="062FA75D"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Organizaciones </w:t>
            </w:r>
            <w:r w:rsidRPr="00D60847">
              <w:rPr>
                <w:rFonts w:ascii="Verdana" w:eastAsia="Verdana" w:hAnsi="Verdana" w:cs="Verdana"/>
                <w:color w:val="000000"/>
                <w:sz w:val="20"/>
                <w:szCs w:val="20"/>
              </w:rPr>
              <w:t>clasificadas como</w:t>
            </w:r>
            <w:r w:rsidRPr="00D60847">
              <w:rPr>
                <w:rFonts w:ascii="Verdana" w:eastAsia="Arial" w:hAnsi="Verdana" w:cs="Arial"/>
                <w:color w:val="000000"/>
                <w:sz w:val="20"/>
                <w:szCs w:val="20"/>
              </w:rPr>
              <w:t xml:space="preserve"> sociedades públicas</w:t>
            </w:r>
            <w:r w:rsidRPr="00D60847">
              <w:rPr>
                <w:rFonts w:ascii="Verdana" w:eastAsia="Verdana" w:hAnsi="Verdana" w:cs="Verdana"/>
                <w:color w:val="000000"/>
                <w:sz w:val="20"/>
                <w:szCs w:val="20"/>
              </w:rPr>
              <w:t xml:space="preserve"> financieras y unidades</w:t>
            </w:r>
            <w:r>
              <w:rPr>
                <w:rFonts w:ascii="Verdana" w:eastAsia="Verdana" w:hAnsi="Verdana" w:cs="Verdana"/>
                <w:color w:val="000000"/>
                <w:sz w:val="20"/>
                <w:szCs w:val="20"/>
              </w:rPr>
              <w:t xml:space="preserve"> de gobierno general del subsector </w:t>
            </w:r>
            <w:r w:rsidR="00D60847">
              <w:rPr>
                <w:rFonts w:ascii="Verdana" w:eastAsia="Verdana" w:hAnsi="Verdana" w:cs="Verdana"/>
                <w:color w:val="000000"/>
                <w:sz w:val="20"/>
                <w:szCs w:val="20"/>
              </w:rPr>
              <w:t>g</w:t>
            </w:r>
            <w:r>
              <w:rPr>
                <w:rFonts w:ascii="Verdana" w:eastAsia="Verdana" w:hAnsi="Verdana" w:cs="Verdana"/>
                <w:color w:val="000000"/>
                <w:sz w:val="20"/>
                <w:szCs w:val="20"/>
              </w:rPr>
              <w:t xml:space="preserve">obierno </w:t>
            </w:r>
            <w:r w:rsidR="00D60847">
              <w:rPr>
                <w:rFonts w:ascii="Verdana" w:eastAsia="Verdana" w:hAnsi="Verdana" w:cs="Verdana"/>
                <w:color w:val="000000"/>
                <w:sz w:val="20"/>
                <w:szCs w:val="20"/>
              </w:rPr>
              <w:t>c</w:t>
            </w:r>
            <w:r>
              <w:rPr>
                <w:rFonts w:ascii="Verdana" w:eastAsia="Verdana" w:hAnsi="Verdana" w:cs="Verdana"/>
                <w:color w:val="000000"/>
                <w:sz w:val="20"/>
                <w:szCs w:val="20"/>
              </w:rPr>
              <w:t xml:space="preserve">entral y </w:t>
            </w:r>
            <w:r w:rsidR="00C55306">
              <w:rPr>
                <w:rFonts w:ascii="Verdana" w:eastAsia="Verdana" w:hAnsi="Verdana" w:cs="Verdana"/>
                <w:color w:val="000000"/>
                <w:sz w:val="20"/>
                <w:szCs w:val="20"/>
              </w:rPr>
              <w:t>departamental,</w:t>
            </w:r>
            <w:r>
              <w:rPr>
                <w:rFonts w:ascii="Verdana" w:eastAsia="Verdana" w:hAnsi="Verdana" w:cs="Verdana"/>
                <w:color w:val="000000"/>
                <w:sz w:val="20"/>
                <w:szCs w:val="20"/>
              </w:rPr>
              <w:t xml:space="preserve"> cuy</w:t>
            </w:r>
            <w:r w:rsidR="00D60847">
              <w:rPr>
                <w:rFonts w:ascii="Verdana" w:eastAsia="Verdana" w:hAnsi="Verdana" w:cs="Verdana"/>
                <w:color w:val="000000"/>
                <w:sz w:val="20"/>
                <w:szCs w:val="20"/>
              </w:rPr>
              <w:t>o</w:t>
            </w:r>
            <w:r>
              <w:rPr>
                <w:rFonts w:ascii="Verdana" w:eastAsia="Verdana" w:hAnsi="Verdana" w:cs="Verdana"/>
                <w:color w:val="000000"/>
                <w:sz w:val="20"/>
                <w:szCs w:val="20"/>
              </w:rPr>
              <w:t xml:space="preserve">s </w:t>
            </w:r>
            <w:r w:rsidR="00D60847">
              <w:rPr>
                <w:rFonts w:ascii="Verdana" w:eastAsia="Verdana" w:hAnsi="Verdana" w:cs="Verdana"/>
                <w:color w:val="000000"/>
                <w:sz w:val="20"/>
                <w:szCs w:val="20"/>
              </w:rPr>
              <w:t xml:space="preserve">niveles de </w:t>
            </w:r>
            <w:r>
              <w:rPr>
                <w:rFonts w:ascii="Verdana" w:eastAsia="Verdana" w:hAnsi="Verdana" w:cs="Verdana"/>
                <w:color w:val="000000"/>
                <w:sz w:val="20"/>
                <w:szCs w:val="20"/>
              </w:rPr>
              <w:t>emisiones directas e indirectas de GEI por energía adquirida</w:t>
            </w:r>
            <w:r w:rsidR="00D60847">
              <w:rPr>
                <w:rFonts w:ascii="Verdana" w:eastAsia="Verdana" w:hAnsi="Verdana" w:cs="Verdana"/>
                <w:color w:val="000000"/>
                <w:sz w:val="20"/>
                <w:szCs w:val="20"/>
              </w:rPr>
              <w:t>, expresados en tCO</w:t>
            </w:r>
            <w:r w:rsidR="00D60847" w:rsidRPr="004A78B4">
              <w:rPr>
                <w:rFonts w:ascii="Verdana" w:eastAsia="Verdana" w:hAnsi="Verdana" w:cs="Verdana"/>
                <w:color w:val="000000"/>
                <w:sz w:val="20"/>
                <w:szCs w:val="20"/>
                <w:vertAlign w:val="subscript"/>
              </w:rPr>
              <w:t>2</w:t>
            </w:r>
            <w:r w:rsidR="00D60847">
              <w:rPr>
                <w:rFonts w:ascii="Verdana" w:eastAsia="Verdana" w:hAnsi="Verdana" w:cs="Verdana"/>
                <w:color w:val="000000"/>
                <w:sz w:val="20"/>
                <w:szCs w:val="20"/>
              </w:rPr>
              <w:t xml:space="preserve">eq, </w:t>
            </w:r>
            <w:r>
              <w:rPr>
                <w:rFonts w:ascii="Verdana" w:eastAsia="Verdana" w:hAnsi="Verdana" w:cs="Verdana"/>
                <w:color w:val="000000"/>
                <w:sz w:val="20"/>
                <w:szCs w:val="20"/>
              </w:rPr>
              <w:t>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D60847">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D60847">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112" w:type="dxa"/>
            <w:vAlign w:val="center"/>
          </w:tcPr>
          <w:p w14:paraId="3445CFE0" w14:textId="48208D7F" w:rsidR="000A3508" w:rsidRDefault="00073829"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Correspondiente al periodo comprendido entre </w:t>
            </w:r>
            <w:r w:rsidR="00880DC3">
              <w:rPr>
                <w:rFonts w:ascii="Verdana" w:eastAsia="Verdana" w:hAnsi="Verdana" w:cs="Verdana"/>
                <w:color w:val="000000"/>
                <w:sz w:val="20"/>
                <w:szCs w:val="20"/>
              </w:rPr>
              <w:t>1 de enero al 31 de diciembre de 2027.</w:t>
            </w:r>
          </w:p>
        </w:tc>
        <w:tc>
          <w:tcPr>
            <w:tcW w:w="2045" w:type="dxa"/>
            <w:vAlign w:val="center"/>
          </w:tcPr>
          <w:p w14:paraId="3445CFE1" w14:textId="77777777"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por energía adquirida generadas en el periodo de reporte.</w:t>
            </w:r>
          </w:p>
        </w:tc>
      </w:tr>
      <w:tr w:rsidR="000A3508" w14:paraId="3445CFE8" w14:textId="77777777" w:rsidTr="00D60847">
        <w:tc>
          <w:tcPr>
            <w:tcW w:w="917" w:type="dxa"/>
            <w:vAlign w:val="center"/>
          </w:tcPr>
          <w:p w14:paraId="3445CFE3"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3</w:t>
            </w:r>
          </w:p>
        </w:tc>
        <w:tc>
          <w:tcPr>
            <w:tcW w:w="1485" w:type="dxa"/>
            <w:vAlign w:val="center"/>
          </w:tcPr>
          <w:p w14:paraId="3445CFE4" w14:textId="77777777" w:rsidR="000A3508" w:rsidRDefault="00880DC3">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color w:val="000000"/>
                <w:sz w:val="20"/>
                <w:szCs w:val="20"/>
              </w:rPr>
              <w:t>2029</w:t>
            </w:r>
          </w:p>
        </w:tc>
        <w:tc>
          <w:tcPr>
            <w:tcW w:w="2271" w:type="dxa"/>
            <w:vAlign w:val="center"/>
          </w:tcPr>
          <w:p w14:paraId="3445CFE5" w14:textId="76CECB75"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Organizaciones clasificadas como sociedades públicas financieras y no financieras, así como las unidades de gobierno general del subsector gobierno central, departamental, municipal y de seguridad social, cuy</w:t>
            </w:r>
            <w:r w:rsidR="00D60847">
              <w:rPr>
                <w:rFonts w:ascii="Verdana" w:eastAsia="Verdana" w:hAnsi="Verdana" w:cs="Verdana"/>
                <w:color w:val="000000"/>
                <w:sz w:val="20"/>
                <w:szCs w:val="20"/>
              </w:rPr>
              <w:t>o</w:t>
            </w:r>
            <w:r>
              <w:rPr>
                <w:rFonts w:ascii="Verdana" w:eastAsia="Verdana" w:hAnsi="Verdana" w:cs="Verdana"/>
                <w:color w:val="000000"/>
                <w:sz w:val="20"/>
                <w:szCs w:val="20"/>
              </w:rPr>
              <w:t>s</w:t>
            </w:r>
            <w:r w:rsidR="00D60847">
              <w:rPr>
                <w:rFonts w:ascii="Verdana" w:eastAsia="Verdana" w:hAnsi="Verdana" w:cs="Verdana"/>
                <w:color w:val="000000"/>
                <w:sz w:val="20"/>
                <w:szCs w:val="20"/>
              </w:rPr>
              <w:t xml:space="preserve"> niveles de</w:t>
            </w:r>
            <w:r>
              <w:rPr>
                <w:rFonts w:ascii="Verdana" w:eastAsia="Verdana" w:hAnsi="Verdana" w:cs="Verdana"/>
                <w:color w:val="000000"/>
                <w:sz w:val="20"/>
                <w:szCs w:val="20"/>
              </w:rPr>
              <w:t xml:space="preserve"> emisiones directas e indirectas de GEI por energía adquirida</w:t>
            </w:r>
            <w:r w:rsidR="00D60847">
              <w:rPr>
                <w:rFonts w:ascii="Verdana" w:eastAsia="Verdana" w:hAnsi="Verdana" w:cs="Verdana"/>
                <w:color w:val="000000"/>
                <w:sz w:val="20"/>
                <w:szCs w:val="20"/>
              </w:rPr>
              <w:t xml:space="preserve">, expresados en </w:t>
            </w:r>
            <w:r w:rsidR="00D60847">
              <w:rPr>
                <w:rFonts w:ascii="Verdana" w:eastAsia="Verdana" w:hAnsi="Verdana" w:cs="Verdana"/>
                <w:color w:val="000000"/>
                <w:sz w:val="20"/>
                <w:szCs w:val="20"/>
              </w:rPr>
              <w:lastRenderedPageBreak/>
              <w:t>tCO</w:t>
            </w:r>
            <w:r w:rsidR="00D60847" w:rsidRPr="004A78B4">
              <w:rPr>
                <w:rFonts w:ascii="Verdana" w:eastAsia="Verdana" w:hAnsi="Verdana" w:cs="Verdana"/>
                <w:color w:val="000000"/>
                <w:sz w:val="20"/>
                <w:szCs w:val="20"/>
                <w:vertAlign w:val="subscript"/>
              </w:rPr>
              <w:t>2</w:t>
            </w:r>
            <w:r w:rsidR="00D60847">
              <w:rPr>
                <w:rFonts w:ascii="Verdana" w:eastAsia="Verdana" w:hAnsi="Verdana" w:cs="Verdana"/>
                <w:color w:val="000000"/>
                <w:sz w:val="20"/>
                <w:szCs w:val="20"/>
              </w:rPr>
              <w:t>eq,</w:t>
            </w:r>
            <w:r>
              <w:rPr>
                <w:rFonts w:ascii="Verdana" w:eastAsia="Verdana" w:hAnsi="Verdana" w:cs="Verdana"/>
                <w:color w:val="000000"/>
                <w:sz w:val="20"/>
                <w:szCs w:val="20"/>
              </w:rPr>
              <w:t xml:space="preserve"> sean iguales o superiores a 11</w:t>
            </w:r>
            <w:r w:rsidR="00715A0A">
              <w:rPr>
                <w:rFonts w:ascii="Verdana" w:eastAsia="Verdana" w:hAnsi="Verdana" w:cs="Verdana"/>
                <w:color w:val="000000"/>
                <w:sz w:val="20"/>
                <w:szCs w:val="20"/>
              </w:rPr>
              <w:t>.</w:t>
            </w:r>
            <w:r>
              <w:rPr>
                <w:rFonts w:ascii="Verdana" w:eastAsia="Verdana" w:hAnsi="Verdana" w:cs="Verdana"/>
                <w:color w:val="000000"/>
                <w:sz w:val="20"/>
                <w:szCs w:val="20"/>
              </w:rPr>
              <w:t>000 tCO</w:t>
            </w:r>
            <w:r w:rsidRPr="00D60847">
              <w:rPr>
                <w:rFonts w:ascii="Verdana" w:eastAsia="Verdana" w:hAnsi="Verdana" w:cs="Verdana"/>
                <w:color w:val="000000"/>
                <w:sz w:val="20"/>
                <w:szCs w:val="20"/>
                <w:vertAlign w:val="subscript"/>
              </w:rPr>
              <w:t>2</w:t>
            </w:r>
            <w:r>
              <w:rPr>
                <w:rFonts w:ascii="Verdana" w:eastAsia="Verdana" w:hAnsi="Verdana" w:cs="Verdana"/>
                <w:color w:val="000000"/>
                <w:sz w:val="20"/>
                <w:szCs w:val="20"/>
              </w:rPr>
              <w:t>eq</w:t>
            </w:r>
            <w:r w:rsidR="00D60847">
              <w:rPr>
                <w:rFonts w:ascii="Verdana" w:eastAsia="Verdana" w:hAnsi="Verdana" w:cs="Verdana"/>
                <w:color w:val="000000"/>
                <w:sz w:val="20"/>
                <w:szCs w:val="20"/>
              </w:rPr>
              <w:t xml:space="preserve"> </w:t>
            </w:r>
            <w:r>
              <w:rPr>
                <w:rFonts w:ascii="Verdana" w:eastAsia="Verdana" w:hAnsi="Verdana" w:cs="Verdana"/>
                <w:color w:val="000000"/>
                <w:sz w:val="20"/>
                <w:szCs w:val="20"/>
              </w:rPr>
              <w:t>anuales</w:t>
            </w:r>
          </w:p>
        </w:tc>
        <w:tc>
          <w:tcPr>
            <w:tcW w:w="2112" w:type="dxa"/>
            <w:vAlign w:val="center"/>
          </w:tcPr>
          <w:p w14:paraId="3445CFE6" w14:textId="1C115E63" w:rsidR="000A3508" w:rsidRDefault="00073829"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lastRenderedPageBreak/>
              <w:t xml:space="preserve">Correspondiente al periodo comprendido entre </w:t>
            </w:r>
            <w:r w:rsidR="00880DC3">
              <w:rPr>
                <w:rFonts w:ascii="Verdana" w:eastAsia="Verdana" w:hAnsi="Verdana" w:cs="Verdana"/>
                <w:color w:val="000000"/>
                <w:sz w:val="20"/>
                <w:szCs w:val="20"/>
              </w:rPr>
              <w:t>1 de enero al 31 de diciembre de 2028.</w:t>
            </w:r>
          </w:p>
        </w:tc>
        <w:tc>
          <w:tcPr>
            <w:tcW w:w="2045" w:type="dxa"/>
            <w:vAlign w:val="center"/>
          </w:tcPr>
          <w:p w14:paraId="3445CFE7" w14:textId="77777777" w:rsidR="000A3508" w:rsidRDefault="00880DC3" w:rsidP="00D60847">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Emisiones directas e indirectas de GEI en el periodo de reporte.</w:t>
            </w:r>
          </w:p>
        </w:tc>
      </w:tr>
    </w:tbl>
    <w:p w14:paraId="1F09A262" w14:textId="77777777" w:rsidR="00820BF4" w:rsidRDefault="00820BF4">
      <w:pPr>
        <w:pBdr>
          <w:top w:val="nil"/>
          <w:left w:val="nil"/>
          <w:bottom w:val="nil"/>
          <w:right w:val="nil"/>
          <w:between w:val="nil"/>
        </w:pBdr>
        <w:spacing w:after="0"/>
        <w:jc w:val="both"/>
        <w:rPr>
          <w:rFonts w:ascii="Verdana" w:eastAsia="Verdana" w:hAnsi="Verdana" w:cs="Verdana"/>
          <w:b/>
          <w:bCs/>
          <w:color w:val="000000"/>
        </w:rPr>
      </w:pPr>
    </w:p>
    <w:p w14:paraId="3445CFEA" w14:textId="3314E698"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Parágrafo</w:t>
      </w:r>
      <w:r w:rsidR="001252E8">
        <w:rPr>
          <w:rFonts w:ascii="Verdana" w:eastAsia="Verdana" w:hAnsi="Verdana" w:cs="Verdana"/>
          <w:b/>
          <w:bCs/>
          <w:color w:val="000000"/>
        </w:rPr>
        <w:t xml:space="preserve"> 1</w:t>
      </w:r>
      <w:r>
        <w:rPr>
          <w:rFonts w:ascii="Verdana" w:eastAsia="Verdana" w:hAnsi="Verdana" w:cs="Verdana"/>
          <w:b/>
          <w:bCs/>
          <w:color w:val="000000"/>
        </w:rPr>
        <w:t xml:space="preserve">. </w:t>
      </w:r>
      <w:r>
        <w:rPr>
          <w:rFonts w:ascii="Verdana" w:eastAsia="Verdana" w:hAnsi="Verdana" w:cs="Verdana"/>
          <w:color w:val="000000"/>
        </w:rPr>
        <w:t xml:space="preserve">Las personas jurídicas </w:t>
      </w:r>
      <w:r w:rsidR="00D86D92" w:rsidRPr="00D86D92">
        <w:rPr>
          <w:rFonts w:ascii="Verdana" w:eastAsia="Verdana" w:hAnsi="Verdana" w:cs="Verdana"/>
          <w:color w:val="000000"/>
        </w:rPr>
        <w:t xml:space="preserve">obligadas a reportar </w:t>
      </w:r>
      <w:r>
        <w:rPr>
          <w:rFonts w:ascii="Verdana" w:eastAsia="Verdana" w:hAnsi="Verdana" w:cs="Verdana"/>
          <w:color w:val="000000"/>
        </w:rPr>
        <w:t>que cuenten con información para cuantificar y reportar otras emisiones indirectas de GEI, antes de 2029 podrá</w:t>
      </w:r>
      <w:r w:rsidR="00FD3BBC">
        <w:rPr>
          <w:rFonts w:ascii="Verdana" w:eastAsia="Verdana" w:hAnsi="Verdana" w:cs="Verdana"/>
          <w:color w:val="000000"/>
        </w:rPr>
        <w:t>n</w:t>
      </w:r>
      <w:r>
        <w:rPr>
          <w:rFonts w:ascii="Verdana" w:eastAsia="Verdana" w:hAnsi="Verdana" w:cs="Verdana"/>
          <w:color w:val="000000"/>
        </w:rPr>
        <w:t xml:space="preserve"> incluirlas en su informe de GEI y reportarlas de manera voluntaria en la plataforma ROE. Estas emisiones no serán consideradas en el nivel de emisiones de GEI</w:t>
      </w:r>
      <w:r w:rsidR="00FD3BBC">
        <w:rPr>
          <w:rFonts w:ascii="Verdana" w:eastAsia="Verdana" w:hAnsi="Verdana" w:cs="Verdana"/>
          <w:color w:val="000000"/>
        </w:rPr>
        <w:t>, ni</w:t>
      </w:r>
      <w:r>
        <w:rPr>
          <w:rFonts w:ascii="Verdana" w:eastAsia="Verdana" w:hAnsi="Verdana" w:cs="Verdana"/>
          <w:color w:val="000000"/>
        </w:rPr>
        <w:t xml:space="preserve"> el tipo de verificación requerid</w:t>
      </w:r>
      <w:r w:rsidR="00FD3BBC">
        <w:rPr>
          <w:rFonts w:ascii="Verdana" w:eastAsia="Verdana" w:hAnsi="Verdana" w:cs="Verdana"/>
          <w:color w:val="000000"/>
        </w:rPr>
        <w:t xml:space="preserve">o, conforme a lo establecido en </w:t>
      </w:r>
      <w:r>
        <w:rPr>
          <w:rFonts w:ascii="Verdana" w:eastAsia="Verdana" w:hAnsi="Verdana" w:cs="Verdana"/>
          <w:color w:val="000000"/>
        </w:rPr>
        <w:t>el artículo 2</w:t>
      </w:r>
      <w:r w:rsidR="00F46287">
        <w:rPr>
          <w:rFonts w:ascii="Verdana" w:eastAsia="Verdana" w:hAnsi="Verdana" w:cs="Verdana"/>
          <w:color w:val="000000"/>
        </w:rPr>
        <w:t>3</w:t>
      </w:r>
      <w:r>
        <w:rPr>
          <w:rFonts w:ascii="Verdana" w:eastAsia="Verdana" w:hAnsi="Verdana" w:cs="Verdana"/>
          <w:color w:val="000000"/>
        </w:rPr>
        <w:t xml:space="preserve"> de la presente resolución.</w:t>
      </w:r>
    </w:p>
    <w:p w14:paraId="1D61B5AB" w14:textId="77777777" w:rsidR="001252E8" w:rsidRDefault="001252E8">
      <w:pPr>
        <w:pBdr>
          <w:top w:val="nil"/>
          <w:left w:val="nil"/>
          <w:bottom w:val="nil"/>
          <w:right w:val="nil"/>
          <w:between w:val="nil"/>
        </w:pBdr>
        <w:spacing w:after="0"/>
        <w:jc w:val="both"/>
        <w:rPr>
          <w:rFonts w:ascii="Verdana" w:eastAsia="Verdana" w:hAnsi="Verdana" w:cs="Verdana"/>
          <w:color w:val="000000"/>
        </w:rPr>
      </w:pPr>
    </w:p>
    <w:p w14:paraId="0B362980" w14:textId="26D226D3" w:rsidR="001252E8" w:rsidRDefault="00A329BB">
      <w:pPr>
        <w:pBdr>
          <w:top w:val="nil"/>
          <w:left w:val="nil"/>
          <w:bottom w:val="nil"/>
          <w:right w:val="nil"/>
          <w:between w:val="nil"/>
        </w:pBdr>
        <w:spacing w:after="0"/>
        <w:jc w:val="both"/>
        <w:rPr>
          <w:rFonts w:ascii="Verdana" w:eastAsia="Verdana" w:hAnsi="Verdana" w:cs="Verdana"/>
          <w:color w:val="000000"/>
        </w:rPr>
      </w:pPr>
      <w:r w:rsidRPr="00D60847">
        <w:rPr>
          <w:rFonts w:ascii="Verdana" w:eastAsia="Verdana" w:hAnsi="Verdana" w:cs="Verdana"/>
          <w:b/>
          <w:bCs/>
          <w:color w:val="000000"/>
        </w:rPr>
        <w:t>Parágrafo</w:t>
      </w:r>
      <w:r w:rsidR="001252E8" w:rsidRPr="00D60847">
        <w:rPr>
          <w:rFonts w:ascii="Verdana" w:eastAsia="Verdana" w:hAnsi="Verdana" w:cs="Verdana"/>
          <w:b/>
          <w:bCs/>
          <w:color w:val="000000"/>
        </w:rPr>
        <w:t xml:space="preserve"> 2.</w:t>
      </w:r>
      <w:r w:rsidR="001252E8">
        <w:rPr>
          <w:rFonts w:ascii="Verdana" w:eastAsia="Verdana" w:hAnsi="Verdana" w:cs="Verdana"/>
          <w:color w:val="000000"/>
        </w:rPr>
        <w:t xml:space="preserve"> </w:t>
      </w:r>
      <w:r w:rsidR="00046120">
        <w:rPr>
          <w:rFonts w:ascii="Verdana" w:eastAsia="Verdana" w:hAnsi="Verdana" w:cs="Verdana"/>
          <w:color w:val="000000"/>
        </w:rPr>
        <w:t>Las personas jurídicas</w:t>
      </w:r>
      <w:r w:rsidR="00FD3BBC">
        <w:rPr>
          <w:rFonts w:ascii="Verdana" w:eastAsia="Verdana" w:hAnsi="Verdana" w:cs="Verdana"/>
          <w:color w:val="000000"/>
        </w:rPr>
        <w:t>,</w:t>
      </w:r>
      <w:r w:rsidR="00046120">
        <w:rPr>
          <w:rFonts w:ascii="Verdana" w:eastAsia="Verdana" w:hAnsi="Verdana" w:cs="Verdana"/>
          <w:color w:val="000000"/>
        </w:rPr>
        <w:t xml:space="preserve"> independiente</w:t>
      </w:r>
      <w:r w:rsidR="00FD3BBC">
        <w:rPr>
          <w:rFonts w:ascii="Verdana" w:eastAsia="Verdana" w:hAnsi="Verdana" w:cs="Verdana"/>
          <w:color w:val="000000"/>
        </w:rPr>
        <w:t>mente</w:t>
      </w:r>
      <w:r w:rsidR="00046120">
        <w:rPr>
          <w:rFonts w:ascii="Verdana" w:eastAsia="Verdana" w:hAnsi="Verdana" w:cs="Verdana"/>
          <w:color w:val="000000"/>
        </w:rPr>
        <w:t xml:space="preserve"> de su tamaño o </w:t>
      </w:r>
      <w:r w:rsidR="00FD3BBC">
        <w:rPr>
          <w:rFonts w:ascii="Verdana" w:eastAsia="Verdana" w:hAnsi="Verdana" w:cs="Verdana"/>
          <w:color w:val="000000"/>
        </w:rPr>
        <w:t xml:space="preserve">la </w:t>
      </w:r>
      <w:r w:rsidR="005236D5">
        <w:rPr>
          <w:rFonts w:ascii="Verdana" w:eastAsia="Verdana" w:hAnsi="Verdana" w:cs="Verdana"/>
          <w:color w:val="000000"/>
        </w:rPr>
        <w:t>c</w:t>
      </w:r>
      <w:r w:rsidR="005236D5" w:rsidRPr="005236D5">
        <w:rPr>
          <w:rFonts w:ascii="Verdana" w:eastAsia="Verdana" w:hAnsi="Verdana" w:cs="Verdana"/>
          <w:color w:val="000000"/>
        </w:rPr>
        <w:t>lasificación de la unidad del sector público</w:t>
      </w:r>
      <w:r w:rsidR="00FD3BBC">
        <w:rPr>
          <w:rFonts w:ascii="Verdana" w:eastAsia="Verdana" w:hAnsi="Verdana" w:cs="Verdana"/>
          <w:color w:val="000000"/>
        </w:rPr>
        <w:t>,</w:t>
      </w:r>
      <w:r w:rsidR="00D56277">
        <w:rPr>
          <w:rFonts w:ascii="Verdana" w:eastAsia="Verdana" w:hAnsi="Verdana" w:cs="Verdana"/>
          <w:color w:val="000000"/>
        </w:rPr>
        <w:t xml:space="preserve"> podrá</w:t>
      </w:r>
      <w:r w:rsidR="0021720C">
        <w:rPr>
          <w:rFonts w:ascii="Verdana" w:eastAsia="Verdana" w:hAnsi="Verdana" w:cs="Verdana"/>
          <w:color w:val="000000"/>
        </w:rPr>
        <w:t>n</w:t>
      </w:r>
      <w:r w:rsidR="00D56277">
        <w:rPr>
          <w:rFonts w:ascii="Verdana" w:eastAsia="Verdana" w:hAnsi="Verdana" w:cs="Verdana"/>
          <w:color w:val="000000"/>
        </w:rPr>
        <w:t xml:space="preserve"> utilizar la plataforma de ROE para</w:t>
      </w:r>
      <w:r w:rsidR="004640C8">
        <w:rPr>
          <w:rFonts w:ascii="Verdana" w:eastAsia="Verdana" w:hAnsi="Verdana" w:cs="Verdana"/>
          <w:color w:val="000000"/>
        </w:rPr>
        <w:t xml:space="preserve"> cuantificar</w:t>
      </w:r>
      <w:r w:rsidR="00FD3BBC">
        <w:rPr>
          <w:rFonts w:ascii="Verdana" w:eastAsia="Verdana" w:hAnsi="Verdana" w:cs="Verdana"/>
          <w:color w:val="000000"/>
        </w:rPr>
        <w:t xml:space="preserve"> y reportar</w:t>
      </w:r>
      <w:r w:rsidR="004640C8">
        <w:rPr>
          <w:rFonts w:ascii="Verdana" w:eastAsia="Verdana" w:hAnsi="Verdana" w:cs="Verdana"/>
          <w:color w:val="000000"/>
        </w:rPr>
        <w:t xml:space="preserve"> </w:t>
      </w:r>
      <w:r w:rsidR="0021720C">
        <w:rPr>
          <w:rFonts w:ascii="Verdana" w:eastAsia="Verdana" w:hAnsi="Verdana" w:cs="Verdana"/>
          <w:color w:val="000000"/>
        </w:rPr>
        <w:t xml:space="preserve">las emisiones directas e indirectas de GEI </w:t>
      </w:r>
      <w:r w:rsidR="00FD3BBC">
        <w:rPr>
          <w:rFonts w:ascii="Verdana" w:eastAsia="Verdana" w:hAnsi="Verdana" w:cs="Verdana"/>
          <w:color w:val="000000"/>
        </w:rPr>
        <w:t xml:space="preserve">con anterioridad a los </w:t>
      </w:r>
      <w:r w:rsidR="006D66B3">
        <w:rPr>
          <w:rFonts w:ascii="Verdana" w:eastAsia="Verdana" w:hAnsi="Verdana" w:cs="Verdana"/>
          <w:color w:val="000000"/>
        </w:rPr>
        <w:t>plazo</w:t>
      </w:r>
      <w:r w:rsidR="005F3B5F">
        <w:rPr>
          <w:rFonts w:ascii="Verdana" w:eastAsia="Verdana" w:hAnsi="Verdana" w:cs="Verdana"/>
          <w:color w:val="000000"/>
        </w:rPr>
        <w:t>s</w:t>
      </w:r>
      <w:r w:rsidR="006D66B3">
        <w:rPr>
          <w:rFonts w:ascii="Verdana" w:eastAsia="Verdana" w:hAnsi="Verdana" w:cs="Verdana"/>
          <w:color w:val="000000"/>
        </w:rPr>
        <w:t xml:space="preserve"> establecidos en las tablas 1 y 2 del presente artículo. </w:t>
      </w:r>
    </w:p>
    <w:p w14:paraId="3445CFEB" w14:textId="77777777" w:rsidR="000A3508" w:rsidRDefault="000A3508">
      <w:pPr>
        <w:jc w:val="both"/>
        <w:rPr>
          <w:rFonts w:ascii="Verdana" w:eastAsia="Verdana" w:hAnsi="Verdana" w:cs="Verdana"/>
          <w:b/>
          <w:bCs/>
          <w:color w:val="000000"/>
        </w:rPr>
      </w:pPr>
    </w:p>
    <w:p w14:paraId="3445CFEC" w14:textId="77777777" w:rsidR="000A3508" w:rsidRDefault="00880DC3">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Sección 3: Condiciones y requisitos del Reporte Obligatorio de Emisiones de GEI</w:t>
      </w:r>
    </w:p>
    <w:p w14:paraId="3445CFED"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3445CFEE" w14:textId="61E6DD99"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1</w:t>
      </w:r>
      <w:r w:rsidR="007B39A6">
        <w:rPr>
          <w:rFonts w:ascii="Verdana" w:eastAsia="Verdana" w:hAnsi="Verdana" w:cs="Verdana"/>
          <w:b/>
          <w:bCs/>
          <w:color w:val="000000"/>
        </w:rPr>
        <w:t>7</w:t>
      </w:r>
      <w:r>
        <w:rPr>
          <w:rFonts w:ascii="Verdana" w:eastAsia="Verdana" w:hAnsi="Verdana" w:cs="Verdana"/>
          <w:b/>
          <w:bCs/>
          <w:color w:val="000000"/>
        </w:rPr>
        <w:t>. Protocolo de Cuantificación y Reporte de Emisiones</w:t>
      </w:r>
      <w:r w:rsidR="0021412A">
        <w:rPr>
          <w:rFonts w:ascii="Verdana" w:eastAsia="Verdana" w:hAnsi="Verdana" w:cs="Verdana"/>
          <w:b/>
          <w:bCs/>
          <w:color w:val="000000"/>
        </w:rPr>
        <w:t xml:space="preserve"> del ROE</w:t>
      </w:r>
      <w:r>
        <w:rPr>
          <w:rFonts w:ascii="Verdana" w:eastAsia="Verdana" w:hAnsi="Verdana" w:cs="Verdana"/>
          <w:b/>
          <w:bCs/>
          <w:color w:val="000000"/>
        </w:rPr>
        <w:t xml:space="preserve">. </w:t>
      </w:r>
      <w:r>
        <w:rPr>
          <w:rFonts w:ascii="Verdana" w:eastAsia="Verdana" w:hAnsi="Verdana" w:cs="Verdana"/>
          <w:color w:val="000000"/>
        </w:rPr>
        <w:t>Adóptese el Protocolo de Cuantificación y Reporte de Emisiones</w:t>
      </w:r>
      <w:r w:rsidR="0021412A">
        <w:rPr>
          <w:rFonts w:ascii="Verdana" w:eastAsia="Verdana" w:hAnsi="Verdana" w:cs="Verdana"/>
          <w:color w:val="000000"/>
        </w:rPr>
        <w:t xml:space="preserve"> del ROE</w:t>
      </w:r>
      <w:r w:rsidR="00B81654">
        <w:rPr>
          <w:rFonts w:ascii="Verdana" w:eastAsia="Verdana" w:hAnsi="Verdana" w:cs="Verdana"/>
          <w:color w:val="000000"/>
        </w:rPr>
        <w:t xml:space="preserve">, en adelante </w:t>
      </w:r>
      <w:r w:rsidR="0021412A">
        <w:rPr>
          <w:rFonts w:ascii="Verdana" w:eastAsia="Verdana" w:hAnsi="Verdana" w:cs="Verdana"/>
          <w:color w:val="000000"/>
        </w:rPr>
        <w:t>Protocolo ROE,</w:t>
      </w:r>
      <w:r>
        <w:rPr>
          <w:rFonts w:ascii="Verdana" w:eastAsia="Verdana" w:hAnsi="Verdana" w:cs="Verdana"/>
          <w:color w:val="000000"/>
        </w:rPr>
        <w:t xml:space="preserve"> que hace parte integral de la presente resolución</w:t>
      </w:r>
      <w:r w:rsidR="006628E4">
        <w:rPr>
          <w:rFonts w:ascii="Verdana" w:eastAsia="Verdana" w:hAnsi="Verdana" w:cs="Verdana"/>
          <w:color w:val="000000"/>
        </w:rPr>
        <w:t xml:space="preserve">, que </w:t>
      </w:r>
      <w:r>
        <w:rPr>
          <w:rFonts w:ascii="Verdana" w:eastAsia="Verdana" w:hAnsi="Verdana" w:cs="Verdana"/>
          <w:color w:val="000000"/>
        </w:rPr>
        <w:t>contiene los lineamientos, criterios, metodologías y condiciones bajo los cuales las personas</w:t>
      </w:r>
      <w:r w:rsidR="00DE1B83">
        <w:rPr>
          <w:rFonts w:ascii="Verdana" w:eastAsia="Verdana" w:hAnsi="Verdana" w:cs="Verdana"/>
          <w:color w:val="000000"/>
        </w:rPr>
        <w:t xml:space="preserve"> jurídicas</w:t>
      </w:r>
      <w:r>
        <w:rPr>
          <w:rFonts w:ascii="Verdana" w:eastAsia="Verdana" w:hAnsi="Verdana" w:cs="Verdana"/>
          <w:color w:val="000000"/>
        </w:rPr>
        <w:t xml:space="preserve"> o</w:t>
      </w:r>
      <w:r w:rsidR="00B47A63">
        <w:rPr>
          <w:rFonts w:ascii="Verdana" w:eastAsia="Verdana" w:hAnsi="Verdana" w:cs="Verdana"/>
          <w:color w:val="000000"/>
        </w:rPr>
        <w:t>bligadas</w:t>
      </w:r>
      <w:r w:rsidR="00DE1B83">
        <w:rPr>
          <w:rFonts w:ascii="Verdana" w:eastAsia="Verdana" w:hAnsi="Verdana" w:cs="Verdana"/>
          <w:color w:val="000000"/>
        </w:rPr>
        <w:t xml:space="preserve">, </w:t>
      </w:r>
      <w:r>
        <w:rPr>
          <w:rFonts w:ascii="Verdana" w:eastAsia="Verdana" w:hAnsi="Verdana" w:cs="Verdana"/>
          <w:color w:val="000000"/>
        </w:rPr>
        <w:t xml:space="preserve">deberán cuantificar y reportar sus emisiones de GEI, incluyendo el contenido mínimo del Informe de Emisiones de GEI al que hace referencia el </w:t>
      </w:r>
      <w:r w:rsidR="0021412A">
        <w:rPr>
          <w:rFonts w:ascii="Verdana" w:eastAsia="Verdana" w:hAnsi="Verdana" w:cs="Verdana"/>
          <w:color w:val="000000"/>
        </w:rPr>
        <w:t>a</w:t>
      </w:r>
      <w:r>
        <w:rPr>
          <w:rFonts w:ascii="Verdana" w:eastAsia="Verdana" w:hAnsi="Verdana" w:cs="Verdana"/>
          <w:color w:val="000000"/>
        </w:rPr>
        <w:t xml:space="preserve">rtículo </w:t>
      </w:r>
      <w:r w:rsidR="00F46287">
        <w:rPr>
          <w:rFonts w:ascii="Verdana" w:eastAsia="Verdana" w:hAnsi="Verdana" w:cs="Verdana"/>
          <w:color w:val="000000"/>
        </w:rPr>
        <w:t>19</w:t>
      </w:r>
      <w:r>
        <w:rPr>
          <w:rFonts w:ascii="Verdana" w:eastAsia="Verdana" w:hAnsi="Verdana" w:cs="Verdana"/>
          <w:color w:val="000000"/>
        </w:rPr>
        <w:t xml:space="preserve"> de la presente resolución.</w:t>
      </w:r>
    </w:p>
    <w:p w14:paraId="3445CFEF"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CFF0" w14:textId="78160EAF" w:rsidR="000A3508" w:rsidRDefault="00000000">
      <w:pPr>
        <w:pBdr>
          <w:top w:val="nil"/>
          <w:left w:val="nil"/>
          <w:bottom w:val="nil"/>
          <w:right w:val="nil"/>
          <w:between w:val="nil"/>
        </w:pBdr>
        <w:spacing w:after="0"/>
        <w:jc w:val="both"/>
        <w:rPr>
          <w:rFonts w:ascii="Verdana" w:eastAsia="Verdana" w:hAnsi="Verdana" w:cs="Verdana"/>
          <w:color w:val="000000"/>
        </w:rPr>
      </w:pPr>
      <w:sdt>
        <w:sdtPr>
          <w:tag w:val="goog_rdk_101"/>
          <w:id w:val="671635394"/>
        </w:sdtPr>
        <w:sdtContent/>
      </w:sdt>
      <w:r w:rsidR="00880DC3">
        <w:rPr>
          <w:rFonts w:ascii="Verdana" w:eastAsia="Verdana" w:hAnsi="Verdana" w:cs="Verdana"/>
          <w:color w:val="000000"/>
        </w:rPr>
        <w:t xml:space="preserve">El Ministerio de Ambiente y Desarrollo Sostenible </w:t>
      </w:r>
      <w:r w:rsidR="000D68F3">
        <w:rPr>
          <w:rFonts w:ascii="Verdana" w:eastAsia="Verdana" w:hAnsi="Verdana" w:cs="Verdana"/>
          <w:color w:val="000000"/>
        </w:rPr>
        <w:t xml:space="preserve">podrá </w:t>
      </w:r>
      <w:r w:rsidR="00880DC3">
        <w:rPr>
          <w:rFonts w:ascii="Verdana" w:eastAsia="Verdana" w:hAnsi="Verdana" w:cs="Verdana"/>
          <w:color w:val="000000"/>
        </w:rPr>
        <w:t>actualizar el Protocolo</w:t>
      </w:r>
      <w:r w:rsidR="00B81654">
        <w:rPr>
          <w:rFonts w:ascii="Verdana" w:eastAsia="Verdana" w:hAnsi="Verdana" w:cs="Verdana"/>
          <w:color w:val="000000"/>
        </w:rPr>
        <w:t xml:space="preserve"> </w:t>
      </w:r>
      <w:r w:rsidR="0021412A">
        <w:rPr>
          <w:rFonts w:ascii="Verdana" w:eastAsia="Verdana" w:hAnsi="Verdana" w:cs="Verdana"/>
          <w:color w:val="000000"/>
        </w:rPr>
        <w:t>ROE</w:t>
      </w:r>
      <w:r w:rsidR="00902E31">
        <w:rPr>
          <w:rFonts w:ascii="Verdana" w:eastAsia="Verdana" w:hAnsi="Verdana" w:cs="Verdana"/>
          <w:color w:val="000000"/>
        </w:rPr>
        <w:t>,</w:t>
      </w:r>
      <w:r w:rsidR="00AF3309">
        <w:rPr>
          <w:rFonts w:ascii="Verdana" w:eastAsia="Verdana" w:hAnsi="Verdana" w:cs="Verdana"/>
          <w:color w:val="000000"/>
        </w:rPr>
        <w:t xml:space="preserve"> de acuerdo con las recomendaciones de</w:t>
      </w:r>
      <w:r w:rsidR="007D46AA">
        <w:rPr>
          <w:rFonts w:ascii="Verdana" w:eastAsia="Verdana" w:hAnsi="Verdana" w:cs="Verdana"/>
          <w:color w:val="000000"/>
        </w:rPr>
        <w:t xml:space="preserve"> la Unidad Técnica de </w:t>
      </w:r>
      <w:r w:rsidR="00C81847">
        <w:rPr>
          <w:rFonts w:ascii="Verdana" w:eastAsia="Verdana" w:hAnsi="Verdana" w:cs="Verdana"/>
          <w:color w:val="000000"/>
        </w:rPr>
        <w:t xml:space="preserve">Apoyo del </w:t>
      </w:r>
      <w:r w:rsidR="00AF3309">
        <w:rPr>
          <w:rFonts w:ascii="Verdana" w:eastAsia="Verdana" w:hAnsi="Verdana" w:cs="Verdana"/>
          <w:color w:val="000000"/>
        </w:rPr>
        <w:t xml:space="preserve">ROE, </w:t>
      </w:r>
      <w:r w:rsidR="00880DC3">
        <w:rPr>
          <w:rFonts w:ascii="Verdana" w:eastAsia="Verdana" w:hAnsi="Verdana" w:cs="Verdana"/>
          <w:color w:val="000000"/>
        </w:rPr>
        <w:t xml:space="preserve">garantizando su publicidad y transparencia </w:t>
      </w:r>
      <w:r w:rsidR="0021412A">
        <w:rPr>
          <w:rFonts w:ascii="Verdana" w:eastAsia="Verdana" w:hAnsi="Verdana" w:cs="Verdana"/>
          <w:color w:val="000000"/>
        </w:rPr>
        <w:t xml:space="preserve">mediante </w:t>
      </w:r>
      <w:r w:rsidR="00880DC3">
        <w:rPr>
          <w:rFonts w:ascii="Verdana" w:eastAsia="Verdana" w:hAnsi="Verdana" w:cs="Verdana"/>
          <w:color w:val="000000"/>
        </w:rPr>
        <w:t>su publicación en la página web del Ministerio.</w:t>
      </w:r>
    </w:p>
    <w:p w14:paraId="5F1F1427" w14:textId="77777777" w:rsidR="004E488A" w:rsidRDefault="004E488A">
      <w:pPr>
        <w:pBdr>
          <w:top w:val="nil"/>
          <w:left w:val="nil"/>
          <w:bottom w:val="nil"/>
          <w:right w:val="nil"/>
          <w:between w:val="nil"/>
        </w:pBdr>
        <w:spacing w:after="0"/>
        <w:jc w:val="both"/>
        <w:rPr>
          <w:rFonts w:ascii="Verdana" w:eastAsia="Verdana" w:hAnsi="Verdana" w:cs="Verdana"/>
          <w:color w:val="000000"/>
        </w:rPr>
      </w:pPr>
    </w:p>
    <w:p w14:paraId="61C7872D" w14:textId="72913B51" w:rsidR="004E488A" w:rsidRDefault="004E488A">
      <w:pPr>
        <w:pBdr>
          <w:top w:val="nil"/>
          <w:left w:val="nil"/>
          <w:bottom w:val="nil"/>
          <w:right w:val="nil"/>
          <w:between w:val="nil"/>
        </w:pBdr>
        <w:spacing w:after="0"/>
        <w:jc w:val="both"/>
        <w:rPr>
          <w:rFonts w:ascii="Verdana" w:eastAsia="Verdana" w:hAnsi="Verdana" w:cs="Verdana"/>
          <w:color w:val="000000"/>
        </w:rPr>
      </w:pPr>
      <w:r w:rsidRPr="00FE2BB1">
        <w:rPr>
          <w:rFonts w:ascii="Verdana" w:eastAsia="Verdana" w:hAnsi="Verdana" w:cs="Verdana"/>
          <w:b/>
          <w:bCs/>
          <w:color w:val="000000"/>
        </w:rPr>
        <w:t>Parágrafo.</w:t>
      </w:r>
      <w:r>
        <w:rPr>
          <w:rFonts w:ascii="Verdana" w:eastAsia="Verdana" w:hAnsi="Verdana" w:cs="Verdana"/>
          <w:color w:val="000000"/>
        </w:rPr>
        <w:t xml:space="preserve"> </w:t>
      </w:r>
      <w:r w:rsidR="00E903EC">
        <w:rPr>
          <w:rFonts w:ascii="Verdana" w:eastAsia="Verdana" w:hAnsi="Verdana" w:cs="Verdana"/>
          <w:color w:val="000000"/>
        </w:rPr>
        <w:t>Los reportes de emisiones</w:t>
      </w:r>
      <w:r w:rsidR="00C131B7">
        <w:rPr>
          <w:rFonts w:ascii="Verdana" w:eastAsia="Verdana" w:hAnsi="Verdana" w:cs="Verdana"/>
          <w:color w:val="000000"/>
        </w:rPr>
        <w:t xml:space="preserve"> de GEI deberán elaborarse con base en la versión del P</w:t>
      </w:r>
      <w:r w:rsidR="00E903EC">
        <w:rPr>
          <w:rFonts w:ascii="Verdana" w:eastAsia="Verdana" w:hAnsi="Verdana" w:cs="Verdana"/>
          <w:color w:val="000000"/>
        </w:rPr>
        <w:t>rotocolo</w:t>
      </w:r>
      <w:r w:rsidR="00B81654">
        <w:rPr>
          <w:rFonts w:ascii="Verdana" w:eastAsia="Verdana" w:hAnsi="Verdana" w:cs="Verdana"/>
          <w:color w:val="000000"/>
        </w:rPr>
        <w:t xml:space="preserve"> ROE</w:t>
      </w:r>
      <w:r w:rsidR="00FE2BB1">
        <w:rPr>
          <w:rFonts w:ascii="Verdana" w:eastAsia="Verdana" w:hAnsi="Verdana" w:cs="Verdana"/>
          <w:color w:val="000000"/>
        </w:rPr>
        <w:t xml:space="preserve"> vigente al inicio del año</w:t>
      </w:r>
      <w:r w:rsidR="00CC21B6">
        <w:rPr>
          <w:rFonts w:ascii="Verdana" w:eastAsia="Verdana" w:hAnsi="Verdana" w:cs="Verdana"/>
          <w:color w:val="000000"/>
        </w:rPr>
        <w:t>,</w:t>
      </w:r>
      <w:r w:rsidR="00FE2BB1">
        <w:rPr>
          <w:rFonts w:ascii="Verdana" w:eastAsia="Verdana" w:hAnsi="Verdana" w:cs="Verdana"/>
          <w:color w:val="000000"/>
        </w:rPr>
        <w:t xml:space="preserve"> en el cual se realiza el reporte de la información, independientemente de la fecha de actualización del Protocolo durante el periodo de generación de las emisione</w:t>
      </w:r>
      <w:r w:rsidR="00FE2BB1" w:rsidRPr="00FE2BB1">
        <w:rPr>
          <w:rFonts w:ascii="Verdana" w:eastAsia="Verdana" w:hAnsi="Verdana" w:cs="Verdana"/>
          <w:color w:val="000000"/>
        </w:rPr>
        <w:t>s</w:t>
      </w:r>
      <w:r w:rsidR="0053445A" w:rsidRPr="00FE2BB1">
        <w:rPr>
          <w:rFonts w:ascii="Verdana" w:eastAsia="Verdana" w:hAnsi="Verdana" w:cs="Verdana"/>
          <w:color w:val="000000"/>
        </w:rPr>
        <w:t>.</w:t>
      </w:r>
    </w:p>
    <w:p w14:paraId="3445CFF1"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132EC972" w14:textId="79F026F2" w:rsidR="00090F98" w:rsidRPr="00DD218C" w:rsidRDefault="00880DC3" w:rsidP="00090F98">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Artículo 1</w:t>
      </w:r>
      <w:r w:rsidR="007B39A6">
        <w:rPr>
          <w:rFonts w:ascii="Verdana" w:eastAsia="Verdana" w:hAnsi="Verdana" w:cs="Verdana"/>
          <w:b/>
          <w:bCs/>
          <w:color w:val="000000"/>
        </w:rPr>
        <w:t>8</w:t>
      </w:r>
      <w:r>
        <w:rPr>
          <w:rFonts w:ascii="Verdana" w:eastAsia="Verdana" w:hAnsi="Verdana" w:cs="Verdana"/>
          <w:b/>
          <w:bCs/>
          <w:color w:val="000000"/>
        </w:rPr>
        <w:t>. Límite del cálculo de las Emisiones de GEI</w:t>
      </w:r>
      <w:r w:rsidR="00090F98" w:rsidRPr="00090F98">
        <w:rPr>
          <w:rFonts w:ascii="Verdana" w:eastAsia="Verdana" w:hAnsi="Verdana" w:cs="Verdana"/>
          <w:b/>
          <w:bCs/>
          <w:color w:val="000000"/>
        </w:rPr>
        <w:t>.</w:t>
      </w:r>
      <w:r w:rsidR="00840303">
        <w:rPr>
          <w:rFonts w:ascii="Verdana" w:eastAsia="Verdana" w:hAnsi="Verdana" w:cs="Verdana"/>
          <w:b/>
          <w:bCs/>
          <w:color w:val="000000"/>
        </w:rPr>
        <w:t xml:space="preserve"> </w:t>
      </w:r>
      <w:r w:rsidR="00090F98" w:rsidRPr="00090F98">
        <w:rPr>
          <w:rFonts w:ascii="Verdana" w:eastAsia="Verdana" w:hAnsi="Verdana" w:cs="Verdana"/>
          <w:color w:val="000000"/>
        </w:rPr>
        <w:t xml:space="preserve">Las personas jurídicas públicas, privadas o mixtas obligadas deberán definir los límites organizacionales y operacionales utilizados para la cuantificación de las emisiones de GEI, </w:t>
      </w:r>
      <w:r w:rsidR="00090F98" w:rsidRPr="00DD218C">
        <w:rPr>
          <w:rFonts w:ascii="Verdana" w:eastAsia="Verdana" w:hAnsi="Verdana" w:cs="Verdana"/>
          <w:color w:val="000000"/>
        </w:rPr>
        <w:t>de conformidad con el enfoque de control operacional</w:t>
      </w:r>
      <w:r w:rsidR="00090F98" w:rsidRPr="00090F98">
        <w:rPr>
          <w:rFonts w:ascii="Verdana" w:eastAsia="Verdana" w:hAnsi="Verdana" w:cs="Verdana"/>
          <w:color w:val="000000"/>
        </w:rPr>
        <w:t xml:space="preserve">, y comunicarlos en el informe de emisiones de GEI a que hace referencia el artículo </w:t>
      </w:r>
      <w:r w:rsidR="0067103F">
        <w:rPr>
          <w:rFonts w:ascii="Verdana" w:eastAsia="Verdana" w:hAnsi="Verdana" w:cs="Verdana"/>
          <w:color w:val="000000"/>
        </w:rPr>
        <w:t>7</w:t>
      </w:r>
      <w:r w:rsidR="00090F98" w:rsidRPr="00090F98">
        <w:rPr>
          <w:rFonts w:ascii="Verdana" w:eastAsia="Verdana" w:hAnsi="Verdana" w:cs="Verdana"/>
          <w:color w:val="000000"/>
        </w:rPr>
        <w:t xml:space="preserve"> de la presente</w:t>
      </w:r>
      <w:r w:rsidR="00090F98">
        <w:rPr>
          <w:rFonts w:ascii="Verdana" w:eastAsia="Verdana" w:hAnsi="Verdana" w:cs="Verdana"/>
          <w:color w:val="000000"/>
        </w:rPr>
        <w:t xml:space="preserve"> resolución.</w:t>
      </w:r>
    </w:p>
    <w:p w14:paraId="3445CFF4" w14:textId="3467308C" w:rsidR="000A3508" w:rsidRDefault="000A3508">
      <w:pPr>
        <w:pBdr>
          <w:top w:val="nil"/>
          <w:left w:val="nil"/>
          <w:bottom w:val="nil"/>
          <w:right w:val="nil"/>
          <w:between w:val="nil"/>
        </w:pBdr>
        <w:spacing w:after="0"/>
        <w:jc w:val="both"/>
        <w:rPr>
          <w:rFonts w:ascii="Verdana" w:eastAsia="Verdana" w:hAnsi="Verdana" w:cs="Verdana"/>
          <w:color w:val="000000"/>
        </w:rPr>
      </w:pPr>
    </w:p>
    <w:p w14:paraId="3445CFF6" w14:textId="0D130755"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lastRenderedPageBreak/>
        <w:t xml:space="preserve">Artículo </w:t>
      </w:r>
      <w:r w:rsidR="007B39A6">
        <w:rPr>
          <w:rFonts w:ascii="Verdana" w:eastAsia="Verdana" w:hAnsi="Verdana" w:cs="Verdana"/>
          <w:b/>
          <w:bCs/>
          <w:color w:val="000000"/>
        </w:rPr>
        <w:t>19</w:t>
      </w:r>
      <w:r>
        <w:rPr>
          <w:rFonts w:ascii="Verdana" w:eastAsia="Verdana" w:hAnsi="Verdana" w:cs="Verdana"/>
          <w:b/>
          <w:bCs/>
          <w:color w:val="000000"/>
        </w:rPr>
        <w:t xml:space="preserve">. Condiciones y requisitos del informe de emisiones de GEI. </w:t>
      </w:r>
      <w:r>
        <w:rPr>
          <w:rFonts w:ascii="Verdana" w:eastAsia="Verdana" w:hAnsi="Verdana" w:cs="Verdana"/>
          <w:color w:val="000000"/>
        </w:rPr>
        <w:t xml:space="preserve">El informe de emisiones de GEI deberá realizarse conforme a las condiciones y requisitos definidos en el protocolo </w:t>
      </w:r>
      <w:r w:rsidR="00C606EB">
        <w:rPr>
          <w:rFonts w:ascii="Verdana" w:eastAsia="Verdana" w:hAnsi="Verdana" w:cs="Verdana"/>
          <w:color w:val="000000"/>
        </w:rPr>
        <w:t>ROE</w:t>
      </w:r>
      <w:r>
        <w:rPr>
          <w:rFonts w:ascii="Verdana" w:eastAsia="Verdana" w:hAnsi="Verdana" w:cs="Verdana"/>
          <w:color w:val="000000"/>
        </w:rPr>
        <w:t>, y contendrá como mínimo:</w:t>
      </w:r>
    </w:p>
    <w:p w14:paraId="464849FB" w14:textId="77777777" w:rsidR="00FF6F10" w:rsidRDefault="00FF6F10">
      <w:pPr>
        <w:pBdr>
          <w:top w:val="nil"/>
          <w:left w:val="nil"/>
          <w:bottom w:val="nil"/>
          <w:right w:val="nil"/>
          <w:between w:val="nil"/>
        </w:pBdr>
        <w:spacing w:after="0"/>
        <w:jc w:val="both"/>
        <w:rPr>
          <w:rFonts w:ascii="Verdana" w:eastAsia="Verdana" w:hAnsi="Verdana" w:cs="Verdana"/>
          <w:color w:val="000000"/>
        </w:rPr>
      </w:pPr>
    </w:p>
    <w:p w14:paraId="3445CFF7" w14:textId="79F085FE" w:rsidR="000A3508" w:rsidRDefault="00880DC3">
      <w:pPr>
        <w:pStyle w:val="Ttulo2"/>
        <w:numPr>
          <w:ilvl w:val="1"/>
          <w:numId w:val="8"/>
        </w:numPr>
        <w:jc w:val="both"/>
        <w:rPr>
          <w:rFonts w:ascii="Verdana" w:eastAsia="Verdana" w:hAnsi="Verdana" w:cs="Verdana"/>
          <w:color w:val="000000"/>
          <w:sz w:val="22"/>
          <w:szCs w:val="22"/>
        </w:rPr>
      </w:pPr>
      <w:bookmarkStart w:id="3" w:name="_heading=h.uao1p5oovwuu" w:colFirst="0" w:colLast="0"/>
      <w:bookmarkEnd w:id="3"/>
      <w:r>
        <w:rPr>
          <w:rFonts w:ascii="Verdana" w:eastAsia="Verdana" w:hAnsi="Verdana" w:cs="Verdana"/>
          <w:color w:val="000000"/>
          <w:sz w:val="22"/>
          <w:szCs w:val="22"/>
        </w:rPr>
        <w:t>Descripción de la organización</w:t>
      </w:r>
      <w:r w:rsidR="00A8576E">
        <w:rPr>
          <w:rFonts w:ascii="Verdana" w:eastAsia="Verdana" w:hAnsi="Verdana" w:cs="Verdana"/>
          <w:color w:val="000000"/>
          <w:sz w:val="22"/>
          <w:szCs w:val="22"/>
        </w:rPr>
        <w:t>.</w:t>
      </w:r>
    </w:p>
    <w:p w14:paraId="3445CFF8" w14:textId="77777777" w:rsidR="000A3508" w:rsidRDefault="00880DC3">
      <w:pPr>
        <w:pStyle w:val="Ttulo2"/>
        <w:numPr>
          <w:ilvl w:val="1"/>
          <w:numId w:val="8"/>
        </w:numPr>
        <w:jc w:val="both"/>
        <w:rPr>
          <w:rFonts w:ascii="Verdana" w:eastAsia="Verdana" w:hAnsi="Verdana" w:cs="Verdana"/>
          <w:color w:val="000000"/>
          <w:sz w:val="22"/>
          <w:szCs w:val="22"/>
        </w:rPr>
      </w:pPr>
      <w:bookmarkStart w:id="4" w:name="_heading=h.ucz9o38dg21n" w:colFirst="0" w:colLast="0"/>
      <w:bookmarkEnd w:id="4"/>
      <w:r>
        <w:rPr>
          <w:rFonts w:ascii="Verdana" w:eastAsia="Verdana" w:hAnsi="Verdana" w:cs="Verdana"/>
          <w:color w:val="000000"/>
          <w:sz w:val="22"/>
          <w:szCs w:val="22"/>
        </w:rPr>
        <w:t>Descripción de los límites organizacionales.</w:t>
      </w:r>
    </w:p>
    <w:p w14:paraId="3445CFF9" w14:textId="7EE7A07F" w:rsidR="000A3508" w:rsidRDefault="00880DC3">
      <w:pPr>
        <w:pStyle w:val="Ttulo2"/>
        <w:numPr>
          <w:ilvl w:val="1"/>
          <w:numId w:val="8"/>
        </w:numPr>
        <w:jc w:val="both"/>
        <w:rPr>
          <w:rFonts w:ascii="Verdana" w:eastAsia="Verdana" w:hAnsi="Verdana" w:cs="Verdana"/>
          <w:color w:val="000000"/>
          <w:sz w:val="22"/>
          <w:szCs w:val="22"/>
        </w:rPr>
      </w:pPr>
      <w:bookmarkStart w:id="5" w:name="_heading=h.wlzmtjmj3mgp" w:colFirst="0" w:colLast="0"/>
      <w:bookmarkEnd w:id="5"/>
      <w:r>
        <w:rPr>
          <w:rFonts w:ascii="Verdana" w:eastAsia="Verdana" w:hAnsi="Verdana" w:cs="Verdana"/>
          <w:color w:val="000000"/>
          <w:sz w:val="22"/>
          <w:szCs w:val="22"/>
        </w:rPr>
        <w:t>Descripción de los límites operacionales</w:t>
      </w:r>
      <w:r w:rsidR="00CE3089">
        <w:rPr>
          <w:rFonts w:ascii="Verdana" w:eastAsia="Verdana" w:hAnsi="Verdana" w:cs="Verdana"/>
          <w:color w:val="000000"/>
          <w:sz w:val="22"/>
          <w:szCs w:val="22"/>
        </w:rPr>
        <w:t>.</w:t>
      </w:r>
      <w:r>
        <w:rPr>
          <w:rFonts w:ascii="Verdana" w:eastAsia="Verdana" w:hAnsi="Verdana" w:cs="Verdana"/>
          <w:color w:val="000000"/>
          <w:sz w:val="22"/>
          <w:szCs w:val="22"/>
        </w:rPr>
        <w:t xml:space="preserve"> </w:t>
      </w:r>
    </w:p>
    <w:p w14:paraId="3445CFFA" w14:textId="77777777" w:rsidR="000A3508" w:rsidRDefault="00880DC3">
      <w:pPr>
        <w:pStyle w:val="Ttulo2"/>
        <w:numPr>
          <w:ilvl w:val="1"/>
          <w:numId w:val="8"/>
        </w:numPr>
        <w:jc w:val="both"/>
        <w:rPr>
          <w:rFonts w:ascii="Verdana" w:eastAsia="Verdana" w:hAnsi="Verdana" w:cs="Verdana"/>
          <w:color w:val="000000"/>
          <w:sz w:val="22"/>
          <w:szCs w:val="22"/>
        </w:rPr>
      </w:pPr>
      <w:bookmarkStart w:id="6" w:name="_heading=h.w436kfv8iexp" w:colFirst="0" w:colLast="0"/>
      <w:bookmarkEnd w:id="6"/>
      <w:r>
        <w:rPr>
          <w:rFonts w:ascii="Verdana" w:eastAsia="Verdana" w:hAnsi="Verdana" w:cs="Verdana"/>
          <w:color w:val="000000"/>
          <w:sz w:val="22"/>
          <w:szCs w:val="22"/>
        </w:rPr>
        <w:t>Caracterización y cuantificación de emisiones de GEI.</w:t>
      </w:r>
    </w:p>
    <w:p w14:paraId="3445CFFB" w14:textId="77777777" w:rsidR="000A3508" w:rsidRDefault="00880DC3">
      <w:pPr>
        <w:pStyle w:val="Ttulo2"/>
        <w:numPr>
          <w:ilvl w:val="1"/>
          <w:numId w:val="8"/>
        </w:numPr>
        <w:jc w:val="both"/>
        <w:rPr>
          <w:rFonts w:ascii="Verdana" w:eastAsia="Verdana" w:hAnsi="Verdana" w:cs="Verdana"/>
          <w:color w:val="000000"/>
          <w:sz w:val="22"/>
          <w:szCs w:val="22"/>
        </w:rPr>
      </w:pPr>
      <w:bookmarkStart w:id="7" w:name="_heading=h.h36mox7p8uff" w:colFirst="0" w:colLast="0"/>
      <w:bookmarkEnd w:id="7"/>
      <w:r>
        <w:rPr>
          <w:rFonts w:ascii="Verdana" w:eastAsia="Verdana" w:hAnsi="Verdana" w:cs="Verdana"/>
          <w:color w:val="000000"/>
          <w:sz w:val="22"/>
          <w:szCs w:val="22"/>
        </w:rPr>
        <w:t xml:space="preserve">Cuantificación de la incertidumbre de las emisiones. </w:t>
      </w:r>
    </w:p>
    <w:p w14:paraId="3445CFFC" w14:textId="0B95CB29" w:rsidR="000A3508" w:rsidRDefault="00880DC3">
      <w:pPr>
        <w:pStyle w:val="Ttulo2"/>
        <w:numPr>
          <w:ilvl w:val="1"/>
          <w:numId w:val="8"/>
        </w:numPr>
        <w:jc w:val="both"/>
        <w:rPr>
          <w:rFonts w:ascii="Verdana" w:eastAsia="Verdana" w:hAnsi="Verdana" w:cs="Verdana"/>
          <w:color w:val="000000"/>
          <w:sz w:val="22"/>
          <w:szCs w:val="22"/>
        </w:rPr>
      </w:pPr>
      <w:bookmarkStart w:id="8" w:name="_heading=h.yhd5blbopl1w" w:colFirst="0" w:colLast="0"/>
      <w:bookmarkEnd w:id="8"/>
      <w:r>
        <w:rPr>
          <w:rFonts w:ascii="Verdana" w:eastAsia="Verdana" w:hAnsi="Verdana" w:cs="Verdana"/>
          <w:color w:val="000000"/>
          <w:sz w:val="22"/>
          <w:szCs w:val="22"/>
        </w:rPr>
        <w:t xml:space="preserve">Descripción de las oportunidades de mejora </w:t>
      </w:r>
      <w:r w:rsidR="0066500E">
        <w:rPr>
          <w:rFonts w:ascii="Verdana" w:eastAsia="Verdana" w:hAnsi="Verdana" w:cs="Verdana"/>
          <w:color w:val="000000"/>
          <w:sz w:val="22"/>
          <w:szCs w:val="22"/>
        </w:rPr>
        <w:t>en el</w:t>
      </w:r>
      <w:r w:rsidR="00E70E3C">
        <w:rPr>
          <w:rFonts w:ascii="Verdana" w:eastAsia="Verdana" w:hAnsi="Verdana" w:cs="Verdana"/>
          <w:color w:val="000000"/>
          <w:sz w:val="22"/>
          <w:szCs w:val="22"/>
        </w:rPr>
        <w:t xml:space="preserve"> </w:t>
      </w:r>
      <w:r>
        <w:rPr>
          <w:rFonts w:ascii="Verdana" w:eastAsia="Verdana" w:hAnsi="Verdana" w:cs="Verdana"/>
          <w:color w:val="000000"/>
          <w:sz w:val="22"/>
          <w:szCs w:val="22"/>
        </w:rPr>
        <w:t xml:space="preserve">proceso de cuantificación y reporte de </w:t>
      </w:r>
      <w:r w:rsidR="00FC6A3D">
        <w:rPr>
          <w:rFonts w:ascii="Verdana" w:eastAsia="Verdana" w:hAnsi="Verdana" w:cs="Verdana"/>
          <w:color w:val="000000"/>
          <w:sz w:val="22"/>
          <w:szCs w:val="22"/>
        </w:rPr>
        <w:t xml:space="preserve">las </w:t>
      </w:r>
      <w:r>
        <w:rPr>
          <w:rFonts w:ascii="Verdana" w:eastAsia="Verdana" w:hAnsi="Verdana" w:cs="Verdana"/>
          <w:color w:val="000000"/>
          <w:sz w:val="22"/>
          <w:szCs w:val="22"/>
        </w:rPr>
        <w:t xml:space="preserve">emisiones de GEI. </w:t>
      </w:r>
    </w:p>
    <w:p w14:paraId="38A16E10" w14:textId="77777777" w:rsidR="00E70E3C" w:rsidRDefault="00E70E3C">
      <w:pPr>
        <w:jc w:val="both"/>
        <w:rPr>
          <w:rFonts w:ascii="Verdana" w:eastAsia="Verdana" w:hAnsi="Verdana" w:cs="Verdana"/>
          <w:b/>
          <w:bCs/>
          <w:color w:val="000000"/>
        </w:rPr>
      </w:pPr>
    </w:p>
    <w:p w14:paraId="3445CFFE" w14:textId="41849B5F" w:rsidR="000A3508" w:rsidRDefault="00880DC3">
      <w:pPr>
        <w:jc w:val="both"/>
        <w:rPr>
          <w:rFonts w:ascii="Verdana" w:eastAsia="Verdana" w:hAnsi="Verdana" w:cs="Verdana"/>
          <w:color w:val="000000"/>
        </w:rPr>
      </w:pPr>
      <w:r>
        <w:rPr>
          <w:rFonts w:ascii="Verdana" w:eastAsia="Verdana" w:hAnsi="Verdana" w:cs="Verdana"/>
          <w:b/>
          <w:bCs/>
          <w:color w:val="000000"/>
        </w:rPr>
        <w:t>Parágrafo.</w:t>
      </w:r>
      <w:r>
        <w:rPr>
          <w:rFonts w:ascii="Verdana" w:eastAsia="Verdana" w:hAnsi="Verdana" w:cs="Verdana"/>
          <w:color w:val="000000"/>
        </w:rPr>
        <w:t xml:space="preserve"> Las personas jurídicas obligadas a reportar deberán estimar y suministrar toda la información sobre las emisiones directas e indirectas de GEI por cada tipo de gas y expresada en unidades </w:t>
      </w:r>
      <w:r w:rsidR="00D86D92">
        <w:rPr>
          <w:rFonts w:ascii="Verdana" w:eastAsia="Verdana" w:hAnsi="Verdana" w:cs="Verdana"/>
          <w:color w:val="000000"/>
        </w:rPr>
        <w:t xml:space="preserve">de toneladas </w:t>
      </w:r>
      <w:r>
        <w:rPr>
          <w:rFonts w:ascii="Verdana" w:eastAsia="Verdana" w:hAnsi="Verdana" w:cs="Verdana"/>
          <w:color w:val="000000"/>
        </w:rPr>
        <w:t xml:space="preserve">del gas correspondiente y en unidades </w:t>
      </w:r>
      <w:r w:rsidR="006B2D6F">
        <w:rPr>
          <w:rFonts w:ascii="Verdana" w:eastAsia="Verdana" w:hAnsi="Verdana" w:cs="Verdana"/>
          <w:color w:val="000000"/>
        </w:rPr>
        <w:t>d</w:t>
      </w:r>
      <w:r>
        <w:rPr>
          <w:rFonts w:ascii="Verdana" w:eastAsia="Verdana" w:hAnsi="Verdana" w:cs="Verdana"/>
          <w:color w:val="000000"/>
        </w:rPr>
        <w:t>e toneladas de CO</w:t>
      </w:r>
      <w:r>
        <w:rPr>
          <w:rFonts w:ascii="Verdana" w:eastAsia="Verdana" w:hAnsi="Verdana" w:cs="Verdana"/>
          <w:color w:val="000000"/>
          <w:vertAlign w:val="subscript"/>
        </w:rPr>
        <w:t>2</w:t>
      </w:r>
      <w:r>
        <w:rPr>
          <w:rFonts w:ascii="Verdana" w:eastAsia="Verdana" w:hAnsi="Verdana" w:cs="Verdana"/>
          <w:color w:val="000000"/>
        </w:rPr>
        <w:t xml:space="preserve"> equivalentes (CO</w:t>
      </w:r>
      <w:r w:rsidRPr="0050743D">
        <w:rPr>
          <w:rFonts w:ascii="Verdana" w:eastAsia="Verdana" w:hAnsi="Verdana" w:cs="Verdana"/>
          <w:color w:val="000000"/>
          <w:vertAlign w:val="subscript"/>
        </w:rPr>
        <w:t>2</w:t>
      </w:r>
      <w:r>
        <w:rPr>
          <w:rFonts w:ascii="Verdana" w:eastAsia="Verdana" w:hAnsi="Verdana" w:cs="Verdana"/>
          <w:color w:val="000000"/>
        </w:rPr>
        <w:t>eq) y en concordancia con lo establecido en el Protocolo</w:t>
      </w:r>
      <w:r w:rsidR="00B81654">
        <w:rPr>
          <w:rFonts w:ascii="Verdana" w:eastAsia="Verdana" w:hAnsi="Verdana" w:cs="Verdana"/>
          <w:color w:val="000000"/>
        </w:rPr>
        <w:t xml:space="preserve"> ROE</w:t>
      </w:r>
      <w:r>
        <w:rPr>
          <w:rFonts w:ascii="Verdana" w:eastAsia="Verdana" w:hAnsi="Verdana" w:cs="Verdana"/>
          <w:color w:val="000000"/>
        </w:rPr>
        <w:t>, a que se refiere el artículo 1</w:t>
      </w:r>
      <w:r w:rsidR="00C42BC2">
        <w:rPr>
          <w:rFonts w:ascii="Verdana" w:eastAsia="Verdana" w:hAnsi="Verdana" w:cs="Verdana"/>
          <w:color w:val="000000"/>
        </w:rPr>
        <w:t>7</w:t>
      </w:r>
      <w:r w:rsidR="00B81654">
        <w:rPr>
          <w:rFonts w:ascii="Verdana" w:eastAsia="Verdana" w:hAnsi="Verdana" w:cs="Verdana"/>
          <w:color w:val="000000"/>
        </w:rPr>
        <w:t xml:space="preserve"> de la presente resolución</w:t>
      </w:r>
      <w:r>
        <w:rPr>
          <w:rFonts w:ascii="Verdana" w:eastAsia="Verdana" w:hAnsi="Verdana" w:cs="Verdana"/>
          <w:color w:val="000000"/>
        </w:rPr>
        <w:t>.</w:t>
      </w:r>
    </w:p>
    <w:p w14:paraId="3445D000" w14:textId="291F0C0D"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2</w:t>
      </w:r>
      <w:r w:rsidR="007B39A6">
        <w:rPr>
          <w:rFonts w:ascii="Verdana" w:eastAsia="Verdana" w:hAnsi="Verdana" w:cs="Verdana"/>
          <w:b/>
          <w:bCs/>
          <w:color w:val="000000"/>
        </w:rPr>
        <w:t>0</w:t>
      </w:r>
      <w:r>
        <w:rPr>
          <w:rFonts w:ascii="Verdana" w:eastAsia="Verdana" w:hAnsi="Verdana" w:cs="Verdana"/>
          <w:b/>
          <w:bCs/>
          <w:color w:val="000000"/>
        </w:rPr>
        <w:t>. Metodologías para el cálculo de las emisiones de GEI.</w:t>
      </w:r>
      <w:r>
        <w:rPr>
          <w:rFonts w:ascii="Verdana" w:eastAsia="Verdana" w:hAnsi="Verdana" w:cs="Verdana"/>
          <w:color w:val="000000"/>
        </w:rPr>
        <w:t xml:space="preserve"> En concordancia con lo establecido en el Protocolo </w:t>
      </w:r>
      <w:r w:rsidR="00626A02">
        <w:rPr>
          <w:rFonts w:ascii="Verdana" w:eastAsia="Verdana" w:hAnsi="Verdana" w:cs="Verdana"/>
          <w:color w:val="000000"/>
        </w:rPr>
        <w:t>ROE</w:t>
      </w:r>
      <w:r w:rsidR="00C044AB">
        <w:rPr>
          <w:rFonts w:ascii="Verdana" w:eastAsia="Verdana" w:hAnsi="Verdana" w:cs="Verdana"/>
          <w:color w:val="000000"/>
        </w:rPr>
        <w:t xml:space="preserve"> </w:t>
      </w:r>
      <w:r>
        <w:rPr>
          <w:rFonts w:ascii="Verdana" w:eastAsia="Verdana" w:hAnsi="Verdana" w:cs="Verdana"/>
          <w:color w:val="000000"/>
        </w:rPr>
        <w:t>a que se refiere el artículo 1</w:t>
      </w:r>
      <w:r w:rsidR="00C85691">
        <w:rPr>
          <w:rFonts w:ascii="Verdana" w:eastAsia="Verdana" w:hAnsi="Verdana" w:cs="Verdana"/>
          <w:color w:val="000000"/>
        </w:rPr>
        <w:t>7</w:t>
      </w:r>
      <w:r>
        <w:rPr>
          <w:rFonts w:ascii="Verdana" w:eastAsia="Verdana" w:hAnsi="Verdana" w:cs="Verdana"/>
          <w:color w:val="000000"/>
        </w:rPr>
        <w:t xml:space="preserve"> de la presente resolución, las emisiones de GEI a ser reportadas deberán ser calculadas utilizando un</w:t>
      </w:r>
      <w:r w:rsidR="007B39A6">
        <w:rPr>
          <w:rFonts w:ascii="Verdana" w:eastAsia="Verdana" w:hAnsi="Verdana" w:cs="Verdana"/>
          <w:color w:val="000000"/>
        </w:rPr>
        <w:t>a</w:t>
      </w:r>
      <w:r>
        <w:rPr>
          <w:rFonts w:ascii="Verdana" w:eastAsia="Verdana" w:hAnsi="Verdana" w:cs="Verdana"/>
          <w:color w:val="000000"/>
        </w:rPr>
        <w:t xml:space="preserve"> o vari</w:t>
      </w:r>
      <w:r w:rsidR="007B39A6">
        <w:rPr>
          <w:rFonts w:ascii="Verdana" w:eastAsia="Verdana" w:hAnsi="Verdana" w:cs="Verdana"/>
          <w:color w:val="000000"/>
        </w:rPr>
        <w:t>a</w:t>
      </w:r>
      <w:r>
        <w:rPr>
          <w:rFonts w:ascii="Verdana" w:eastAsia="Verdana" w:hAnsi="Verdana" w:cs="Verdana"/>
          <w:color w:val="000000"/>
        </w:rPr>
        <w:t>s de l</w:t>
      </w:r>
      <w:r w:rsidR="00A642AE">
        <w:rPr>
          <w:rFonts w:ascii="Verdana" w:eastAsia="Verdana" w:hAnsi="Verdana" w:cs="Verdana"/>
          <w:color w:val="000000"/>
        </w:rPr>
        <w:t>a</w:t>
      </w:r>
      <w:r>
        <w:rPr>
          <w:rFonts w:ascii="Verdana" w:eastAsia="Verdana" w:hAnsi="Verdana" w:cs="Verdana"/>
          <w:color w:val="000000"/>
        </w:rPr>
        <w:t xml:space="preserve">s siguientes </w:t>
      </w:r>
      <w:r w:rsidR="00F14088">
        <w:rPr>
          <w:rFonts w:ascii="Verdana" w:eastAsia="Verdana" w:hAnsi="Verdana" w:cs="Verdana"/>
          <w:color w:val="000000"/>
        </w:rPr>
        <w:t>metodologías</w:t>
      </w:r>
      <w:r>
        <w:rPr>
          <w:rFonts w:ascii="Verdana" w:eastAsia="Verdana" w:hAnsi="Verdana" w:cs="Verdana"/>
          <w:color w:val="000000"/>
        </w:rPr>
        <w:t>:</w:t>
      </w:r>
    </w:p>
    <w:p w14:paraId="3445D001"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01338523" w14:textId="32704ECD" w:rsidR="00A55AA4" w:rsidRDefault="00F14088">
      <w:pPr>
        <w:numPr>
          <w:ilvl w:val="0"/>
          <w:numId w:val="9"/>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F</w:t>
      </w:r>
      <w:r w:rsidR="00E955CC">
        <w:rPr>
          <w:rFonts w:ascii="Verdana" w:eastAsia="Verdana" w:hAnsi="Verdana" w:cs="Verdana"/>
          <w:color w:val="000000"/>
        </w:rPr>
        <w:t>actores de emisión.</w:t>
      </w:r>
    </w:p>
    <w:p w14:paraId="3445D002" w14:textId="4D4AFED8" w:rsidR="000A3508" w:rsidRDefault="00F14088">
      <w:pPr>
        <w:numPr>
          <w:ilvl w:val="0"/>
          <w:numId w:val="9"/>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B</w:t>
      </w:r>
      <w:r w:rsidR="00880DC3">
        <w:rPr>
          <w:rFonts w:ascii="Verdana" w:eastAsia="Verdana" w:hAnsi="Verdana" w:cs="Verdana"/>
          <w:color w:val="000000"/>
        </w:rPr>
        <w:t>alance de masas</w:t>
      </w:r>
      <w:r w:rsidR="00031A9D">
        <w:rPr>
          <w:rFonts w:ascii="Verdana" w:eastAsia="Verdana" w:hAnsi="Verdana" w:cs="Verdana"/>
          <w:color w:val="000000"/>
        </w:rPr>
        <w:t xml:space="preserve"> y energía</w:t>
      </w:r>
      <w:r w:rsidR="00880DC3">
        <w:rPr>
          <w:rFonts w:ascii="Verdana" w:eastAsia="Verdana" w:hAnsi="Verdana" w:cs="Verdana"/>
          <w:color w:val="000000"/>
        </w:rPr>
        <w:t xml:space="preserve">. </w:t>
      </w:r>
    </w:p>
    <w:p w14:paraId="3445D003" w14:textId="77CDF8E0" w:rsidR="000A3508" w:rsidRDefault="00880DC3">
      <w:pPr>
        <w:numPr>
          <w:ilvl w:val="0"/>
          <w:numId w:val="9"/>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Medición directa</w:t>
      </w:r>
      <w:sdt>
        <w:sdtPr>
          <w:tag w:val="goog_rdk_107"/>
          <w:id w:val="-1556798648"/>
        </w:sdtPr>
        <w:sdtContent>
          <w:r>
            <w:rPr>
              <w:rFonts w:ascii="Verdana" w:eastAsia="Verdana" w:hAnsi="Verdana" w:cs="Verdana"/>
              <w:color w:val="000000"/>
            </w:rPr>
            <w:t>.</w:t>
          </w:r>
        </w:sdtContent>
      </w:sdt>
    </w:p>
    <w:p w14:paraId="3445D005"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06" w14:textId="40CE5842" w:rsidR="000A3508" w:rsidRDefault="00880DC3">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 xml:space="preserve">Parágrafo 1. </w:t>
      </w:r>
      <w:r>
        <w:rPr>
          <w:rFonts w:ascii="Verdana" w:eastAsia="Verdana" w:hAnsi="Verdana" w:cs="Verdana"/>
          <w:color w:val="000000"/>
        </w:rPr>
        <w:t>En línea con el principio de transparencia las personas jurídicas públicas, privadas o mixtas, deberán informar de manera explícita al momento de hacer el reporte y en el informe de emisiones,</w:t>
      </w:r>
      <w:r w:rsidR="008C4B9F">
        <w:rPr>
          <w:rFonts w:ascii="Verdana" w:eastAsia="Verdana" w:hAnsi="Verdana" w:cs="Verdana"/>
          <w:color w:val="000000"/>
        </w:rPr>
        <w:t xml:space="preserve"> la metodología</w:t>
      </w:r>
      <w:r>
        <w:rPr>
          <w:rFonts w:ascii="Verdana" w:eastAsia="Verdana" w:hAnsi="Verdana" w:cs="Verdana"/>
          <w:color w:val="000000"/>
        </w:rPr>
        <w:t xml:space="preserve"> de cálculo utilizad</w:t>
      </w:r>
      <w:r w:rsidR="008C4B9F">
        <w:rPr>
          <w:rFonts w:ascii="Verdana" w:eastAsia="Verdana" w:hAnsi="Verdana" w:cs="Verdana"/>
          <w:color w:val="000000"/>
        </w:rPr>
        <w:t>a</w:t>
      </w:r>
      <w:r>
        <w:rPr>
          <w:rFonts w:ascii="Verdana" w:eastAsia="Verdana" w:hAnsi="Verdana" w:cs="Verdana"/>
          <w:color w:val="000000"/>
        </w:rPr>
        <w:t xml:space="preserve"> para </w:t>
      </w:r>
      <w:r w:rsidR="009E3EB6">
        <w:rPr>
          <w:rFonts w:ascii="Verdana" w:eastAsia="Verdana" w:hAnsi="Verdana" w:cs="Verdana"/>
          <w:color w:val="000000"/>
        </w:rPr>
        <w:t>cuantificar</w:t>
      </w:r>
      <w:r>
        <w:rPr>
          <w:rFonts w:ascii="Verdana" w:eastAsia="Verdana" w:hAnsi="Verdana" w:cs="Verdana"/>
          <w:color w:val="000000"/>
        </w:rPr>
        <w:t xml:space="preserve"> las emisiones asociadas a cada fuente, indicando como mínimo los valores de emisión para cada tipo de GEI, la incertidumbre y el desarrollo de</w:t>
      </w:r>
      <w:r w:rsidR="00574FC0">
        <w:rPr>
          <w:rFonts w:ascii="Verdana" w:eastAsia="Verdana" w:hAnsi="Verdana" w:cs="Verdana"/>
          <w:color w:val="000000"/>
        </w:rPr>
        <w:t xml:space="preserve"> la metodología</w:t>
      </w:r>
      <w:r>
        <w:rPr>
          <w:rFonts w:ascii="Verdana" w:eastAsia="Verdana" w:hAnsi="Verdana" w:cs="Verdana"/>
          <w:color w:val="000000"/>
        </w:rPr>
        <w:t xml:space="preserve"> aplicad</w:t>
      </w:r>
      <w:r w:rsidR="00574FC0">
        <w:rPr>
          <w:rFonts w:ascii="Verdana" w:eastAsia="Verdana" w:hAnsi="Verdana" w:cs="Verdana"/>
          <w:color w:val="000000"/>
        </w:rPr>
        <w:t>a</w:t>
      </w:r>
      <w:r>
        <w:rPr>
          <w:rFonts w:ascii="Verdana" w:eastAsia="Verdana" w:hAnsi="Verdana" w:cs="Verdana"/>
          <w:color w:val="000000"/>
        </w:rPr>
        <w:t xml:space="preserve"> con sus respectivos soportes. </w:t>
      </w:r>
    </w:p>
    <w:p w14:paraId="3445D007"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3445D008" w14:textId="1DFC8AAE"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Parágrafo 2. </w:t>
      </w:r>
      <w:r>
        <w:rPr>
          <w:rFonts w:ascii="Verdana" w:eastAsia="Verdana" w:hAnsi="Verdana" w:cs="Verdana"/>
          <w:color w:val="000000"/>
        </w:rPr>
        <w:t xml:space="preserve">Las personas jurídicas públicas, privadas o mixtas con obligación de cuantificación y reporte de emisiones de GEI podrán desarrollar sus propios factores de </w:t>
      </w:r>
      <w:sdt>
        <w:sdtPr>
          <w:tag w:val="goog_rdk_109"/>
          <w:id w:val="-859162628"/>
        </w:sdtPr>
        <w:sdtContent/>
      </w:sdt>
      <w:r>
        <w:rPr>
          <w:rFonts w:ascii="Verdana" w:eastAsia="Verdana" w:hAnsi="Verdana" w:cs="Verdana"/>
          <w:color w:val="000000"/>
        </w:rPr>
        <w:t>emisión, siempre que</w:t>
      </w:r>
      <w:r w:rsidR="0017777D">
        <w:rPr>
          <w:rFonts w:ascii="Verdana" w:eastAsia="Verdana" w:hAnsi="Verdana" w:cs="Verdana"/>
          <w:color w:val="000000"/>
        </w:rPr>
        <w:t xml:space="preserve"> </w:t>
      </w:r>
      <w:r w:rsidR="000B274D">
        <w:rPr>
          <w:rFonts w:ascii="Verdana" w:eastAsia="Verdana" w:hAnsi="Verdana" w:cs="Verdana"/>
          <w:color w:val="000000"/>
        </w:rPr>
        <w:t>estos</w:t>
      </w:r>
      <w:r w:rsidR="00E70E3C">
        <w:rPr>
          <w:rFonts w:ascii="Verdana" w:eastAsia="Verdana" w:hAnsi="Verdana" w:cs="Verdana"/>
          <w:color w:val="000000"/>
        </w:rPr>
        <w:t xml:space="preserve"> </w:t>
      </w:r>
      <w:r>
        <w:rPr>
          <w:rFonts w:ascii="Verdana" w:eastAsia="Verdana" w:hAnsi="Verdana" w:cs="Verdana"/>
          <w:color w:val="000000"/>
        </w:rPr>
        <w:t xml:space="preserve">garanticen una mayor consistencia con los datos de actividad y la fuente de emisión identificada. </w:t>
      </w:r>
    </w:p>
    <w:p w14:paraId="3445D009"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0A" w14:textId="64C35641"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Caso en el cual, deberán suministrar la documentación de soporte empleada para la estimación del factor de emisión, incluyendo los datos, análisis de laboratorio, métodos de cuantificación, supuestos, análisis técnicos relevantes realizados, y comunicarlo de manera clara en el informe de las emisiones de GEI a que hace referencia el artículo </w:t>
      </w:r>
      <w:r w:rsidR="00F46287">
        <w:rPr>
          <w:rFonts w:ascii="Verdana" w:eastAsia="Verdana" w:hAnsi="Verdana" w:cs="Verdana"/>
          <w:color w:val="000000"/>
        </w:rPr>
        <w:t>7</w:t>
      </w:r>
      <w:r>
        <w:rPr>
          <w:rFonts w:ascii="Verdana" w:eastAsia="Verdana" w:hAnsi="Verdana" w:cs="Verdana"/>
          <w:color w:val="000000"/>
        </w:rPr>
        <w:t xml:space="preserve">, siendo competente el Ministerio de Ambiente y Desarrollo Sostenible para solicitar información adicional que así considere. </w:t>
      </w:r>
    </w:p>
    <w:p w14:paraId="3445D00C"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3445D00D" w14:textId="2F44D06B"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 xml:space="preserve">Parágrafo 3. </w:t>
      </w:r>
      <w:r>
        <w:rPr>
          <w:rFonts w:ascii="Verdana" w:eastAsia="Verdana" w:hAnsi="Verdana" w:cs="Verdana"/>
          <w:color w:val="000000"/>
        </w:rPr>
        <w:t>Los valores del Potencial de Calentamiento Global (PCG) de los GEI cubiertos por el ROE deben ser aquellos utilizados en los Inventarios Nacionales de GEI más</w:t>
      </w:r>
      <w:r w:rsidR="0098123E">
        <w:rPr>
          <w:rFonts w:ascii="Verdana" w:eastAsia="Verdana" w:hAnsi="Verdana" w:cs="Verdana"/>
          <w:color w:val="000000"/>
        </w:rPr>
        <w:t xml:space="preserve"> recientes</w:t>
      </w:r>
      <w:r>
        <w:rPr>
          <w:rFonts w:ascii="Verdana" w:eastAsia="Verdana" w:hAnsi="Verdana" w:cs="Verdana"/>
          <w:color w:val="000000"/>
        </w:rPr>
        <w:t xml:space="preserve"> al momento del reporte. </w:t>
      </w:r>
    </w:p>
    <w:p w14:paraId="3445D00F" w14:textId="6E5B6718" w:rsidR="000A3508" w:rsidRDefault="00880DC3">
      <w:pPr>
        <w:pBdr>
          <w:top w:val="nil"/>
          <w:left w:val="nil"/>
          <w:bottom w:val="nil"/>
          <w:right w:val="nil"/>
          <w:between w:val="nil"/>
        </w:pBdr>
        <w:spacing w:after="0" w:line="240" w:lineRule="auto"/>
        <w:jc w:val="both"/>
        <w:rPr>
          <w:rFonts w:ascii="Verdana" w:eastAsia="Verdana" w:hAnsi="Verdana" w:cs="Verdana"/>
          <w:color w:val="000000"/>
        </w:rPr>
      </w:pPr>
      <w:r>
        <w:rPr>
          <w:rFonts w:ascii="Verdana" w:eastAsia="Verdana" w:hAnsi="Verdana" w:cs="Verdana"/>
          <w:b/>
          <w:bCs/>
          <w:color w:val="000000"/>
        </w:rPr>
        <w:lastRenderedPageBreak/>
        <w:t>Artículo 2</w:t>
      </w:r>
      <w:r w:rsidR="007B39A6">
        <w:rPr>
          <w:rFonts w:ascii="Verdana" w:eastAsia="Verdana" w:hAnsi="Verdana" w:cs="Verdana"/>
          <w:b/>
          <w:bCs/>
          <w:color w:val="000000"/>
        </w:rPr>
        <w:t>1</w:t>
      </w:r>
      <w:r>
        <w:rPr>
          <w:rFonts w:ascii="Verdana" w:eastAsia="Verdana" w:hAnsi="Verdana" w:cs="Verdana"/>
          <w:b/>
          <w:bCs/>
          <w:color w:val="000000"/>
        </w:rPr>
        <w:t xml:space="preserve">. Periodicidad del reporte. </w:t>
      </w:r>
      <w:r>
        <w:rPr>
          <w:rFonts w:ascii="Verdana" w:eastAsia="Verdana" w:hAnsi="Verdana" w:cs="Verdana"/>
          <w:color w:val="000000"/>
        </w:rPr>
        <w:t xml:space="preserve">El Reporte de Emisiones de GEI al que se refiere el artículo </w:t>
      </w:r>
      <w:r w:rsidR="00F46287">
        <w:rPr>
          <w:rFonts w:ascii="Verdana" w:eastAsia="Verdana" w:hAnsi="Verdana" w:cs="Verdana"/>
          <w:color w:val="000000"/>
        </w:rPr>
        <w:t>6</w:t>
      </w:r>
      <w:r>
        <w:rPr>
          <w:rFonts w:ascii="Verdana" w:eastAsia="Verdana" w:hAnsi="Verdana" w:cs="Verdana"/>
          <w:color w:val="000000"/>
        </w:rPr>
        <w:t>, se</w:t>
      </w:r>
      <w:r w:rsidR="000B274D">
        <w:rPr>
          <w:rFonts w:ascii="Verdana" w:eastAsia="Verdana" w:hAnsi="Verdana" w:cs="Verdana"/>
          <w:color w:val="000000"/>
        </w:rPr>
        <w:t xml:space="preserve"> presentará</w:t>
      </w:r>
      <w:r>
        <w:rPr>
          <w:rFonts w:ascii="Verdana" w:eastAsia="Verdana" w:hAnsi="Verdana" w:cs="Verdana"/>
          <w:color w:val="000000"/>
        </w:rPr>
        <w:t xml:space="preserve"> anualmente, dentro de los primeros </w:t>
      </w:r>
      <w:r w:rsidR="00FF6F10">
        <w:rPr>
          <w:rFonts w:ascii="Verdana" w:eastAsia="Verdana" w:hAnsi="Verdana" w:cs="Verdana"/>
          <w:color w:val="000000"/>
        </w:rPr>
        <w:t>cuatro (</w:t>
      </w:r>
      <w:r>
        <w:rPr>
          <w:rFonts w:ascii="Verdana" w:eastAsia="Verdana" w:hAnsi="Verdana" w:cs="Verdana"/>
          <w:color w:val="000000"/>
        </w:rPr>
        <w:t>4</w:t>
      </w:r>
      <w:r w:rsidR="00FF6F10">
        <w:rPr>
          <w:rFonts w:ascii="Verdana" w:eastAsia="Verdana" w:hAnsi="Verdana" w:cs="Verdana"/>
          <w:color w:val="000000"/>
        </w:rPr>
        <w:t>)</w:t>
      </w:r>
      <w:r>
        <w:rPr>
          <w:rFonts w:ascii="Verdana" w:eastAsia="Verdana" w:hAnsi="Verdana" w:cs="Verdana"/>
          <w:color w:val="000000"/>
        </w:rPr>
        <w:t xml:space="preserve"> meses del año calendario</w:t>
      </w:r>
      <w:r w:rsidR="00F41C39">
        <w:rPr>
          <w:rFonts w:ascii="Verdana" w:eastAsia="Verdana" w:hAnsi="Verdana" w:cs="Verdana"/>
          <w:color w:val="000000"/>
        </w:rPr>
        <w:t xml:space="preserve">, es decir a más tardar el 30 de abril de cada año, </w:t>
      </w:r>
      <w:r>
        <w:rPr>
          <w:rFonts w:ascii="Verdana" w:eastAsia="Verdana" w:hAnsi="Verdana" w:cs="Verdana"/>
          <w:color w:val="000000"/>
        </w:rPr>
        <w:t xml:space="preserve">a través de la plataforma ROE, a partir del año </w:t>
      </w:r>
      <w:r w:rsidRPr="00D41533">
        <w:rPr>
          <w:rFonts w:ascii="Verdana" w:eastAsia="Verdana" w:hAnsi="Verdana" w:cs="Verdana"/>
          <w:color w:val="000000"/>
        </w:rPr>
        <w:t>2027</w:t>
      </w:r>
      <w:r>
        <w:rPr>
          <w:rFonts w:ascii="Verdana" w:eastAsia="Verdana" w:hAnsi="Verdana" w:cs="Verdana"/>
          <w:color w:val="000000"/>
        </w:rPr>
        <w:t xml:space="preserve"> y en concordancia con el artículo 1</w:t>
      </w:r>
      <w:r w:rsidR="008B0970">
        <w:rPr>
          <w:rFonts w:ascii="Verdana" w:eastAsia="Verdana" w:hAnsi="Verdana" w:cs="Verdana"/>
          <w:color w:val="000000"/>
        </w:rPr>
        <w:t>6</w:t>
      </w:r>
      <w:r>
        <w:rPr>
          <w:rFonts w:ascii="Verdana" w:eastAsia="Verdana" w:hAnsi="Verdana" w:cs="Verdana"/>
          <w:color w:val="000000"/>
        </w:rPr>
        <w:t xml:space="preserve"> de la presente Resolución, tomando como base las emisiones </w:t>
      </w:r>
      <w:r w:rsidR="00626A02">
        <w:rPr>
          <w:rFonts w:ascii="Verdana" w:eastAsia="Verdana" w:hAnsi="Verdana" w:cs="Verdana"/>
          <w:color w:val="000000"/>
        </w:rPr>
        <w:t xml:space="preserve">de GEI </w:t>
      </w:r>
      <w:r>
        <w:rPr>
          <w:rFonts w:ascii="Verdana" w:eastAsia="Verdana" w:hAnsi="Verdana" w:cs="Verdana"/>
          <w:color w:val="000000"/>
        </w:rPr>
        <w:t xml:space="preserve">generadas en el año inmediatamente anterior. </w:t>
      </w:r>
    </w:p>
    <w:p w14:paraId="3445D010" w14:textId="77777777" w:rsidR="000A3508" w:rsidRDefault="000A3508">
      <w:pPr>
        <w:pBdr>
          <w:top w:val="nil"/>
          <w:left w:val="nil"/>
          <w:bottom w:val="nil"/>
          <w:right w:val="nil"/>
          <w:between w:val="nil"/>
        </w:pBdr>
        <w:spacing w:after="0" w:line="240" w:lineRule="auto"/>
        <w:rPr>
          <w:rFonts w:ascii="Verdana" w:eastAsia="Verdana" w:hAnsi="Verdana" w:cs="Verdana"/>
          <w:b/>
          <w:bCs/>
          <w:color w:val="000000"/>
        </w:rPr>
      </w:pPr>
    </w:p>
    <w:p w14:paraId="3445D011" w14:textId="5BB3DEA9"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2</w:t>
      </w:r>
      <w:r w:rsidR="007B39A6">
        <w:rPr>
          <w:rFonts w:ascii="Verdana" w:eastAsia="Verdana" w:hAnsi="Verdana" w:cs="Verdana"/>
          <w:b/>
          <w:bCs/>
          <w:color w:val="000000"/>
        </w:rPr>
        <w:t>2</w:t>
      </w:r>
      <w:r>
        <w:rPr>
          <w:rFonts w:ascii="Verdana" w:eastAsia="Verdana" w:hAnsi="Verdana" w:cs="Verdana"/>
          <w:b/>
          <w:bCs/>
          <w:color w:val="000000"/>
        </w:rPr>
        <w:t xml:space="preserve">. Autodeclaración de las Emisiones de GEI. </w:t>
      </w:r>
      <w:r>
        <w:rPr>
          <w:rFonts w:ascii="Verdana" w:eastAsia="Verdana" w:hAnsi="Verdana" w:cs="Verdana"/>
          <w:color w:val="000000"/>
        </w:rPr>
        <w:t>En los casos en que las personas jurídicas públicas, privadas o mixtas no superen el nivel de emisiones de GEI al que se refiere el artículo 1</w:t>
      </w:r>
      <w:r w:rsidR="008B0970">
        <w:rPr>
          <w:rFonts w:ascii="Verdana" w:eastAsia="Verdana" w:hAnsi="Verdana" w:cs="Verdana"/>
          <w:color w:val="000000"/>
        </w:rPr>
        <w:t>2</w:t>
      </w:r>
      <w:r>
        <w:rPr>
          <w:rFonts w:ascii="Verdana" w:eastAsia="Verdana" w:hAnsi="Verdana" w:cs="Verdana"/>
          <w:color w:val="000000"/>
        </w:rPr>
        <w:t xml:space="preserve"> de la presente resolución para un periodo de reporte, deberán diligenciar la información de la cuantificación de sus emisiones</w:t>
      </w:r>
      <w:r w:rsidR="00626A02">
        <w:rPr>
          <w:rFonts w:ascii="Verdana" w:eastAsia="Verdana" w:hAnsi="Verdana" w:cs="Verdana"/>
          <w:color w:val="000000"/>
        </w:rPr>
        <w:t xml:space="preserve"> en la plataforma ROE</w:t>
      </w:r>
      <w:r>
        <w:rPr>
          <w:rFonts w:ascii="Verdana" w:eastAsia="Verdana" w:hAnsi="Verdana" w:cs="Verdana"/>
          <w:color w:val="000000"/>
        </w:rPr>
        <w:t xml:space="preserve"> y entregar</w:t>
      </w:r>
      <w:r w:rsidR="00626A02">
        <w:rPr>
          <w:rFonts w:ascii="Verdana" w:eastAsia="Verdana" w:hAnsi="Verdana" w:cs="Verdana"/>
          <w:color w:val="000000"/>
        </w:rPr>
        <w:t xml:space="preserve"> en esta,</w:t>
      </w:r>
      <w:r>
        <w:rPr>
          <w:rFonts w:ascii="Verdana" w:eastAsia="Verdana" w:hAnsi="Verdana" w:cs="Verdana"/>
          <w:color w:val="000000"/>
        </w:rPr>
        <w:t xml:space="preserve"> el formato de autodeclaración firmado por el representante legal </w:t>
      </w:r>
      <w:r w:rsidR="00B94E8A">
        <w:rPr>
          <w:rFonts w:ascii="Verdana" w:eastAsia="Verdana" w:hAnsi="Verdana" w:cs="Verdana"/>
          <w:color w:val="000000"/>
        </w:rPr>
        <w:t xml:space="preserve">y revisor fiscal </w:t>
      </w:r>
      <w:r>
        <w:rPr>
          <w:rFonts w:ascii="Verdana" w:eastAsia="Verdana" w:hAnsi="Verdana" w:cs="Verdana"/>
          <w:color w:val="000000"/>
        </w:rPr>
        <w:t xml:space="preserve">o el que haga sus </w:t>
      </w:r>
      <w:sdt>
        <w:sdtPr>
          <w:tag w:val="goog_rdk_120"/>
          <w:id w:val="837356823"/>
        </w:sdtPr>
        <w:sdtContent/>
      </w:sdt>
      <w:r>
        <w:rPr>
          <w:rFonts w:ascii="Verdana" w:eastAsia="Verdana" w:hAnsi="Verdana" w:cs="Verdana"/>
          <w:color w:val="000000"/>
        </w:rPr>
        <w:t>veces</w:t>
      </w:r>
      <w:r w:rsidR="00045BD4">
        <w:rPr>
          <w:rFonts w:ascii="Verdana" w:eastAsia="Verdana" w:hAnsi="Verdana" w:cs="Verdana"/>
          <w:color w:val="000000"/>
        </w:rPr>
        <w:t xml:space="preserve">, </w:t>
      </w:r>
      <w:r w:rsidR="00626A02">
        <w:rPr>
          <w:rFonts w:ascii="Verdana" w:eastAsia="Verdana" w:hAnsi="Verdana" w:cs="Verdana"/>
          <w:color w:val="000000"/>
        </w:rPr>
        <w:t>dentro de</w:t>
      </w:r>
      <w:r w:rsidR="00045BD4">
        <w:rPr>
          <w:rFonts w:ascii="Verdana" w:eastAsia="Verdana" w:hAnsi="Verdana" w:cs="Verdana"/>
          <w:color w:val="000000"/>
        </w:rPr>
        <w:t xml:space="preserve"> la fecha límite establecida para la presentación del reporte obligatorio de emisiones de GEI</w:t>
      </w:r>
      <w:r w:rsidR="00626A02">
        <w:rPr>
          <w:rFonts w:ascii="Verdana" w:eastAsia="Verdana" w:hAnsi="Verdana" w:cs="Verdana"/>
          <w:color w:val="000000"/>
        </w:rPr>
        <w:t>.</w:t>
      </w:r>
    </w:p>
    <w:p w14:paraId="3445D012"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4A8A7657" w14:textId="67C811FB" w:rsidR="00A642AE"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El formato de autodeclaración de las emisiones de GEI estará disponible en la plataforma ROE. La cuantificación de las emisiones de GEI deberá realizarse con base en las metodologías a las que se refiere el artículo 2</w:t>
      </w:r>
      <w:r w:rsidR="008B0970">
        <w:rPr>
          <w:rFonts w:ascii="Verdana" w:eastAsia="Verdana" w:hAnsi="Verdana" w:cs="Verdana"/>
          <w:color w:val="000000"/>
        </w:rPr>
        <w:t>0</w:t>
      </w:r>
      <w:r>
        <w:rPr>
          <w:rFonts w:ascii="Verdana" w:eastAsia="Verdana" w:hAnsi="Verdana" w:cs="Verdana"/>
          <w:color w:val="000000"/>
        </w:rPr>
        <w:t xml:space="preserve"> de la presente resolución. </w:t>
      </w:r>
    </w:p>
    <w:p w14:paraId="5A1F66CE" w14:textId="77777777" w:rsidR="00356BDD" w:rsidRDefault="00356BDD">
      <w:pPr>
        <w:pBdr>
          <w:top w:val="nil"/>
          <w:left w:val="nil"/>
          <w:bottom w:val="nil"/>
          <w:right w:val="nil"/>
          <w:between w:val="nil"/>
        </w:pBdr>
        <w:spacing w:after="0"/>
        <w:jc w:val="both"/>
        <w:rPr>
          <w:rFonts w:ascii="Verdana" w:eastAsia="Verdana" w:hAnsi="Verdana" w:cs="Verdana"/>
          <w:color w:val="000000"/>
        </w:rPr>
      </w:pPr>
    </w:p>
    <w:p w14:paraId="3445D016" w14:textId="77777777" w:rsidR="000A3508" w:rsidRDefault="00880DC3">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Sección 4: Condiciones y requerimientos para la verificación de las emisiones de GEI del ROE.</w:t>
      </w:r>
    </w:p>
    <w:p w14:paraId="3445D017"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18" w14:textId="58060A7A"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2</w:t>
      </w:r>
      <w:r w:rsidR="007B39A6">
        <w:rPr>
          <w:rFonts w:ascii="Verdana" w:eastAsia="Verdana" w:hAnsi="Verdana" w:cs="Verdana"/>
          <w:b/>
          <w:bCs/>
          <w:color w:val="000000"/>
        </w:rPr>
        <w:t>3</w:t>
      </w:r>
      <w:r>
        <w:rPr>
          <w:rFonts w:ascii="Verdana" w:eastAsia="Verdana" w:hAnsi="Verdana" w:cs="Verdana"/>
          <w:b/>
          <w:bCs/>
          <w:color w:val="000000"/>
        </w:rPr>
        <w:t>. Nivel de emisiones de GEI para la verificación.</w:t>
      </w:r>
      <w:r>
        <w:rPr>
          <w:rFonts w:ascii="Verdana" w:eastAsia="Verdana" w:hAnsi="Verdana" w:cs="Verdana"/>
          <w:color w:val="000000"/>
        </w:rPr>
        <w:t xml:space="preserve"> Las personas jurídicas públicas, privadas o mixtas con obligación de cuantificación y reporte de emisiones de GEI deberán verificar sus emisiones de GEI</w:t>
      </w:r>
      <w:r w:rsidR="0066133F">
        <w:rPr>
          <w:rFonts w:ascii="Verdana" w:eastAsia="Verdana" w:hAnsi="Verdana" w:cs="Verdana"/>
          <w:color w:val="000000"/>
        </w:rPr>
        <w:t>,</w:t>
      </w:r>
      <w:r>
        <w:rPr>
          <w:rFonts w:ascii="Verdana" w:eastAsia="Verdana" w:hAnsi="Verdana" w:cs="Verdana"/>
          <w:color w:val="000000"/>
        </w:rPr>
        <w:t xml:space="preserve"> </w:t>
      </w:r>
      <w:r w:rsidR="0066133F" w:rsidRPr="0066133F">
        <w:rPr>
          <w:rFonts w:ascii="Verdana" w:eastAsia="Verdana" w:hAnsi="Verdana" w:cs="Verdana"/>
          <w:color w:val="000000"/>
        </w:rPr>
        <w:t>de acuerdo con los niveles de emisiones definidos para el periodo de reporte y bajo los límites organizacionales y opera</w:t>
      </w:r>
      <w:r w:rsidR="0066133F">
        <w:rPr>
          <w:rFonts w:ascii="Verdana" w:eastAsia="Verdana" w:hAnsi="Verdana" w:cs="Verdana"/>
          <w:color w:val="000000"/>
        </w:rPr>
        <w:t>cionales</w:t>
      </w:r>
      <w:r w:rsidR="0066133F" w:rsidRPr="0066133F">
        <w:rPr>
          <w:rFonts w:ascii="Verdana" w:eastAsia="Verdana" w:hAnsi="Verdana" w:cs="Verdana"/>
          <w:color w:val="000000"/>
        </w:rPr>
        <w:t xml:space="preserve"> establecidos en el Protocolo ROE, conforme</w:t>
      </w:r>
      <w:r w:rsidR="0066133F">
        <w:rPr>
          <w:rFonts w:ascii="Verdana" w:eastAsia="Verdana" w:hAnsi="Verdana" w:cs="Verdana"/>
          <w:color w:val="000000"/>
        </w:rPr>
        <w:t xml:space="preserve"> a</w:t>
      </w:r>
      <w:r>
        <w:rPr>
          <w:rFonts w:ascii="Verdana" w:eastAsia="Verdana" w:hAnsi="Verdana" w:cs="Verdana"/>
          <w:color w:val="000000"/>
        </w:rPr>
        <w:t xml:space="preserve"> las siguientes condiciones:</w:t>
      </w:r>
    </w:p>
    <w:p w14:paraId="3445D019"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1A" w14:textId="6588798D" w:rsidR="000A3508" w:rsidRPr="0066133F" w:rsidRDefault="0066133F">
      <w:pPr>
        <w:numPr>
          <w:ilvl w:val="1"/>
          <w:numId w:val="1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Cuando</w:t>
      </w:r>
      <w:r w:rsidR="00880DC3" w:rsidRPr="0066133F">
        <w:rPr>
          <w:rFonts w:ascii="Verdana" w:eastAsia="Verdana" w:hAnsi="Verdana" w:cs="Verdana"/>
          <w:color w:val="000000"/>
        </w:rPr>
        <w:t xml:space="preserve"> la suma de las emisiones directas e indirectas por energía adquirida para el periodo de reporte,</w:t>
      </w:r>
      <w:r>
        <w:rPr>
          <w:rFonts w:ascii="Verdana" w:eastAsia="Verdana" w:hAnsi="Verdana" w:cs="Verdana"/>
          <w:color w:val="000000"/>
        </w:rPr>
        <w:t xml:space="preserve"> se encuentre </w:t>
      </w:r>
      <w:r w:rsidR="00880DC3" w:rsidRPr="0066133F">
        <w:rPr>
          <w:rFonts w:ascii="Verdana" w:eastAsia="Verdana" w:hAnsi="Verdana" w:cs="Verdana"/>
          <w:color w:val="000000"/>
        </w:rPr>
        <w:t>entre 11.000</w:t>
      </w:r>
      <w:r>
        <w:rPr>
          <w:rFonts w:ascii="Verdana" w:eastAsia="Verdana" w:hAnsi="Verdana" w:cs="Verdana"/>
          <w:color w:val="000000"/>
        </w:rPr>
        <w:t xml:space="preserve"> </w:t>
      </w:r>
      <w:r w:rsidRPr="0066133F">
        <w:rPr>
          <w:rFonts w:ascii="Verdana" w:eastAsia="Verdana" w:hAnsi="Verdana" w:cs="Verdana"/>
          <w:color w:val="000000"/>
        </w:rPr>
        <w:t>tCO</w:t>
      </w:r>
      <w:r w:rsidRPr="0099413A">
        <w:rPr>
          <w:rFonts w:ascii="Verdana" w:eastAsia="Verdana" w:hAnsi="Verdana" w:cs="Verdana"/>
          <w:color w:val="000000"/>
          <w:vertAlign w:val="subscript"/>
        </w:rPr>
        <w:t>2</w:t>
      </w:r>
      <w:r w:rsidRPr="0066133F">
        <w:rPr>
          <w:rFonts w:ascii="Verdana" w:eastAsia="Verdana" w:hAnsi="Verdana" w:cs="Verdana"/>
          <w:color w:val="000000"/>
        </w:rPr>
        <w:t>e</w:t>
      </w:r>
      <w:r w:rsidR="00880DC3" w:rsidRPr="0066133F">
        <w:rPr>
          <w:rFonts w:ascii="Verdana" w:eastAsia="Verdana" w:hAnsi="Verdana" w:cs="Verdana"/>
          <w:color w:val="000000"/>
        </w:rPr>
        <w:t xml:space="preserve"> y menos de 25.000 tCO</w:t>
      </w:r>
      <w:r w:rsidR="00880DC3" w:rsidRPr="001C2612">
        <w:rPr>
          <w:rFonts w:ascii="Verdana" w:eastAsia="Verdana" w:hAnsi="Verdana" w:cs="Verdana"/>
          <w:color w:val="000000"/>
          <w:vertAlign w:val="subscript"/>
        </w:rPr>
        <w:t>2</w:t>
      </w:r>
      <w:r w:rsidR="00880DC3" w:rsidRPr="0066133F">
        <w:rPr>
          <w:rFonts w:ascii="Verdana" w:eastAsia="Verdana" w:hAnsi="Verdana" w:cs="Verdana"/>
          <w:color w:val="000000"/>
        </w:rPr>
        <w:t>e, deberá realizar</w:t>
      </w:r>
      <w:r>
        <w:rPr>
          <w:rFonts w:ascii="Verdana" w:eastAsia="Verdana" w:hAnsi="Verdana" w:cs="Verdana"/>
          <w:color w:val="000000"/>
        </w:rPr>
        <w:t>se</w:t>
      </w:r>
      <w:r w:rsidR="00880DC3" w:rsidRPr="0066133F">
        <w:rPr>
          <w:rFonts w:ascii="Verdana" w:eastAsia="Verdana" w:hAnsi="Verdana" w:cs="Verdana"/>
          <w:color w:val="000000"/>
        </w:rPr>
        <w:t xml:space="preserve"> la verificación de primera parte del informe de GEI. </w:t>
      </w:r>
    </w:p>
    <w:p w14:paraId="3445D01B" w14:textId="2BE7ED0C" w:rsidR="000A3508" w:rsidRDefault="0066133F">
      <w:pPr>
        <w:numPr>
          <w:ilvl w:val="1"/>
          <w:numId w:val="1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Cuando </w:t>
      </w:r>
      <w:r w:rsidR="00880DC3">
        <w:rPr>
          <w:rFonts w:ascii="Verdana" w:eastAsia="Verdana" w:hAnsi="Verdana" w:cs="Verdana"/>
          <w:color w:val="000000"/>
        </w:rPr>
        <w:t xml:space="preserve">la suma de las emisiones directas e indirectas por energía adquirida para el periodo de reporte, </w:t>
      </w:r>
      <w:r>
        <w:rPr>
          <w:rFonts w:ascii="Verdana" w:eastAsia="Verdana" w:hAnsi="Verdana" w:cs="Verdana"/>
          <w:color w:val="000000"/>
        </w:rPr>
        <w:t xml:space="preserve">sea </w:t>
      </w:r>
      <w:r w:rsidR="00880DC3">
        <w:rPr>
          <w:rFonts w:ascii="Verdana" w:eastAsia="Verdana" w:hAnsi="Verdana" w:cs="Verdana"/>
          <w:color w:val="000000"/>
        </w:rPr>
        <w:t>igual o superior a 25.000 tCO</w:t>
      </w:r>
      <w:r w:rsidR="00880DC3">
        <w:rPr>
          <w:rFonts w:ascii="Verdana" w:eastAsia="Verdana" w:hAnsi="Verdana" w:cs="Verdana"/>
          <w:color w:val="000000"/>
          <w:vertAlign w:val="subscript"/>
        </w:rPr>
        <w:t>2</w:t>
      </w:r>
      <w:r w:rsidR="00880DC3">
        <w:rPr>
          <w:rFonts w:ascii="Verdana" w:eastAsia="Verdana" w:hAnsi="Verdana" w:cs="Verdana"/>
          <w:color w:val="000000"/>
        </w:rPr>
        <w:t>e, deberá realizar</w:t>
      </w:r>
      <w:r>
        <w:rPr>
          <w:rFonts w:ascii="Verdana" w:eastAsia="Verdana" w:hAnsi="Verdana" w:cs="Verdana"/>
          <w:color w:val="000000"/>
        </w:rPr>
        <w:t>se</w:t>
      </w:r>
      <w:r w:rsidR="00880DC3">
        <w:rPr>
          <w:rFonts w:ascii="Verdana" w:eastAsia="Verdana" w:hAnsi="Verdana" w:cs="Verdana"/>
          <w:color w:val="000000"/>
        </w:rPr>
        <w:t xml:space="preserve"> la verificación del informe de GEI por una tercera parte</w:t>
      </w:r>
      <w:r>
        <w:rPr>
          <w:rFonts w:ascii="Verdana" w:eastAsia="Verdana" w:hAnsi="Verdana" w:cs="Verdana"/>
          <w:color w:val="000000"/>
        </w:rPr>
        <w:t>, a través de</w:t>
      </w:r>
      <w:r w:rsidR="00880DC3">
        <w:rPr>
          <w:rFonts w:ascii="Verdana" w:eastAsia="Verdana" w:hAnsi="Verdana" w:cs="Verdana"/>
          <w:color w:val="000000"/>
        </w:rPr>
        <w:t xml:space="preserve"> organismos </w:t>
      </w:r>
      <w:r>
        <w:rPr>
          <w:rFonts w:ascii="Verdana" w:eastAsia="Verdana" w:hAnsi="Verdana" w:cs="Verdana"/>
          <w:color w:val="000000"/>
        </w:rPr>
        <w:t>de validación y verificación</w:t>
      </w:r>
      <w:r w:rsidR="00880DC3">
        <w:rPr>
          <w:rFonts w:ascii="Verdana" w:eastAsia="Verdana" w:hAnsi="Verdana" w:cs="Verdana"/>
          <w:color w:val="000000"/>
        </w:rPr>
        <w:t xml:space="preserve"> acreditados.</w:t>
      </w:r>
    </w:p>
    <w:p w14:paraId="1229DA5D" w14:textId="77777777" w:rsidR="009015B4" w:rsidRDefault="009015B4">
      <w:pPr>
        <w:pBdr>
          <w:top w:val="nil"/>
          <w:left w:val="nil"/>
          <w:bottom w:val="nil"/>
          <w:right w:val="nil"/>
          <w:between w:val="nil"/>
        </w:pBdr>
        <w:spacing w:after="0"/>
        <w:jc w:val="both"/>
        <w:rPr>
          <w:rFonts w:ascii="Verdana" w:eastAsia="Verdana" w:hAnsi="Verdana" w:cs="Verdana"/>
          <w:color w:val="000000"/>
        </w:rPr>
      </w:pPr>
    </w:p>
    <w:p w14:paraId="3445D01C" w14:textId="7ACCCB6D" w:rsidR="000A3508" w:rsidRDefault="009015B4">
      <w:pPr>
        <w:pBdr>
          <w:top w:val="nil"/>
          <w:left w:val="nil"/>
          <w:bottom w:val="nil"/>
          <w:right w:val="nil"/>
          <w:between w:val="nil"/>
        </w:pBdr>
        <w:spacing w:after="0"/>
        <w:jc w:val="both"/>
        <w:rPr>
          <w:rFonts w:ascii="Verdana" w:eastAsia="Verdana" w:hAnsi="Verdana" w:cs="Verdana"/>
          <w:color w:val="000000"/>
        </w:rPr>
      </w:pPr>
      <w:r w:rsidRPr="009015B4">
        <w:rPr>
          <w:rFonts w:ascii="Verdana" w:eastAsia="Verdana" w:hAnsi="Verdana" w:cs="Verdana"/>
          <w:b/>
          <w:bCs/>
          <w:color w:val="000000"/>
        </w:rPr>
        <w:t>Parágrafo</w:t>
      </w:r>
      <w:r>
        <w:rPr>
          <w:rFonts w:ascii="Verdana" w:eastAsia="Verdana" w:hAnsi="Verdana" w:cs="Verdana"/>
          <w:color w:val="000000"/>
        </w:rPr>
        <w:t>. El nivel de emisiones para la verificación se ajustará con base en los resultados de la revisión y actualización del nivel de emisiones previsto en el parágrafo del artículo 1</w:t>
      </w:r>
      <w:r w:rsidR="008B0970">
        <w:rPr>
          <w:rFonts w:ascii="Verdana" w:eastAsia="Verdana" w:hAnsi="Verdana" w:cs="Verdana"/>
          <w:color w:val="000000"/>
        </w:rPr>
        <w:t>2</w:t>
      </w:r>
      <w:r>
        <w:rPr>
          <w:rFonts w:ascii="Verdana" w:eastAsia="Verdana" w:hAnsi="Verdana" w:cs="Verdana"/>
          <w:color w:val="000000"/>
        </w:rPr>
        <w:t xml:space="preserve"> de la presenta resolución.</w:t>
      </w:r>
    </w:p>
    <w:p w14:paraId="391D7BE4" w14:textId="77777777" w:rsidR="0093448A" w:rsidRDefault="0093448A">
      <w:pPr>
        <w:pBdr>
          <w:top w:val="nil"/>
          <w:left w:val="nil"/>
          <w:bottom w:val="nil"/>
          <w:right w:val="nil"/>
          <w:between w:val="nil"/>
        </w:pBdr>
        <w:spacing w:after="0"/>
        <w:jc w:val="both"/>
        <w:rPr>
          <w:rFonts w:ascii="Verdana" w:eastAsia="Verdana" w:hAnsi="Verdana" w:cs="Verdana"/>
          <w:color w:val="000000"/>
        </w:rPr>
      </w:pPr>
    </w:p>
    <w:p w14:paraId="3445D01D" w14:textId="5DB1F588" w:rsidR="000A3508" w:rsidRDefault="00880DC3">
      <w:pPr>
        <w:jc w:val="both"/>
        <w:rPr>
          <w:rFonts w:ascii="Verdana" w:eastAsia="Verdana" w:hAnsi="Verdana" w:cs="Verdana"/>
        </w:rPr>
      </w:pPr>
      <w:r>
        <w:rPr>
          <w:rFonts w:ascii="Verdana" w:eastAsia="Verdana" w:hAnsi="Verdana" w:cs="Verdana"/>
          <w:b/>
          <w:bCs/>
        </w:rPr>
        <w:t>Artículo 2</w:t>
      </w:r>
      <w:r w:rsidR="007B39A6">
        <w:rPr>
          <w:rFonts w:ascii="Verdana" w:eastAsia="Verdana" w:hAnsi="Verdana" w:cs="Verdana"/>
          <w:b/>
          <w:bCs/>
        </w:rPr>
        <w:t>4</w:t>
      </w:r>
      <w:r>
        <w:rPr>
          <w:rFonts w:ascii="Verdana" w:eastAsia="Verdana" w:hAnsi="Verdana" w:cs="Verdana"/>
          <w:b/>
          <w:bCs/>
        </w:rPr>
        <w:t>. Procesos de verificación de Primera Parte</w:t>
      </w:r>
      <w:r>
        <w:rPr>
          <w:rFonts w:ascii="Verdana" w:eastAsia="Verdana" w:hAnsi="Verdana" w:cs="Verdana"/>
        </w:rPr>
        <w:t xml:space="preserve">. Las personas jurídicas que someten su </w:t>
      </w:r>
      <w:r>
        <w:rPr>
          <w:rFonts w:ascii="Verdana" w:eastAsia="Verdana" w:hAnsi="Verdana" w:cs="Verdana"/>
          <w:color w:val="000000"/>
        </w:rPr>
        <w:t xml:space="preserve">informe de emisiones de GEI </w:t>
      </w:r>
      <w:r>
        <w:rPr>
          <w:rFonts w:ascii="Verdana" w:eastAsia="Verdana" w:hAnsi="Verdana" w:cs="Verdana"/>
        </w:rPr>
        <w:t>a verificación de primera parte, según las condiciones del artículo 2</w:t>
      </w:r>
      <w:r w:rsidR="008B0970">
        <w:rPr>
          <w:rFonts w:ascii="Verdana" w:eastAsia="Verdana" w:hAnsi="Verdana" w:cs="Verdana"/>
        </w:rPr>
        <w:t>3</w:t>
      </w:r>
      <w:r>
        <w:rPr>
          <w:rFonts w:ascii="Verdana" w:eastAsia="Verdana" w:hAnsi="Verdana" w:cs="Verdana"/>
        </w:rPr>
        <w:t xml:space="preserve"> de la presente Resolución, deberán garantizar que el verificador seleccionado para dicho proceso de evaluación de la conformidad no haya participado en la etapa de cuantificación de emisiones de GEI o en etapas previas asociadas, en concordancia con las normas ISO IEC </w:t>
      </w:r>
      <w:r>
        <w:rPr>
          <w:rFonts w:ascii="Verdana" w:eastAsia="Verdana" w:hAnsi="Verdana" w:cs="Verdana"/>
        </w:rPr>
        <w:lastRenderedPageBreak/>
        <w:t>17029, ISO 14065, ISO 14064-1 e ISO 14066 en sus versiones más recientes, o aquellas que las sustituyan o modifiquen, con el fin de garantizar la independencia e imparcialidad de estos procesos.</w:t>
      </w:r>
    </w:p>
    <w:p w14:paraId="3445D01E" w14:textId="77777777" w:rsidR="000A3508" w:rsidRDefault="00880DC3">
      <w:pPr>
        <w:jc w:val="both"/>
        <w:rPr>
          <w:rFonts w:ascii="Verdana" w:eastAsia="Verdana" w:hAnsi="Verdana" w:cs="Verdana"/>
        </w:rPr>
      </w:pPr>
      <w:r>
        <w:rPr>
          <w:rFonts w:ascii="Verdana" w:eastAsia="Verdana" w:hAnsi="Verdana" w:cs="Verdana"/>
        </w:rPr>
        <w:t xml:space="preserve">El verificador seleccionado deberá cumplir los requisitos, las competencias y habilidades establecidas en la norma ISO/IEC 17029, ISO 14065 e ISO 14066 en su versión más reciente, o aquella que la modifique o sustituya, según aplique. </w:t>
      </w:r>
    </w:p>
    <w:p w14:paraId="3445D01F" w14:textId="6BD57202" w:rsidR="000A3508" w:rsidRDefault="00880DC3">
      <w:pPr>
        <w:jc w:val="both"/>
        <w:rPr>
          <w:rFonts w:ascii="Verdana" w:eastAsia="Verdana" w:hAnsi="Verdana" w:cs="Verdana"/>
        </w:rPr>
      </w:pPr>
      <w:r>
        <w:rPr>
          <w:rFonts w:ascii="Verdana" w:eastAsia="Verdana" w:hAnsi="Verdana" w:cs="Verdana"/>
        </w:rPr>
        <w:t xml:space="preserve">Asimismo, las personas jurídicas obligadas a </w:t>
      </w:r>
      <w:r w:rsidR="007C594D">
        <w:rPr>
          <w:rFonts w:ascii="Verdana" w:eastAsia="Verdana" w:hAnsi="Verdana" w:cs="Verdana"/>
        </w:rPr>
        <w:t>reportar</w:t>
      </w:r>
      <w:r>
        <w:rPr>
          <w:rFonts w:ascii="Verdana" w:eastAsia="Verdana" w:hAnsi="Verdana" w:cs="Verdana"/>
        </w:rPr>
        <w:t xml:space="preserve"> deberán demostrar la competencia del verificador seleccionado, en caso de ser persona natural, a través de las certificaciones de experiencia en la actividad a realizar y de estudios relacionados con: </w:t>
      </w:r>
    </w:p>
    <w:p w14:paraId="3445D020"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Inventarios organizacionales de gases de efecto invernaderos y fuentes de emisión de GEI</w:t>
      </w:r>
    </w:p>
    <w:p w14:paraId="3445D021"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Estándares o metodologías para la elaboración de inventarios de GEI</w:t>
      </w:r>
    </w:p>
    <w:p w14:paraId="3445D022"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 xml:space="preserve">Cálculo de emisiones de GEI y métodos de cuantificación o estimación de emisiones de GEI. </w:t>
      </w:r>
    </w:p>
    <w:p w14:paraId="3445D023"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 xml:space="preserve">Técnicas de auditoría. </w:t>
      </w:r>
    </w:p>
    <w:p w14:paraId="3445D024"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Aplicación de principios de cuantificación y presentación de informes.</w:t>
      </w:r>
    </w:p>
    <w:p w14:paraId="3445D025" w14:textId="77777777" w:rsidR="000A3508" w:rsidRDefault="00880DC3">
      <w:pPr>
        <w:widowControl w:val="0"/>
        <w:numPr>
          <w:ilvl w:val="0"/>
          <w:numId w:val="5"/>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Aplicación de materialidad y discrepancia material.</w:t>
      </w:r>
    </w:p>
    <w:p w14:paraId="3445D026" w14:textId="77777777" w:rsidR="000A3508" w:rsidRDefault="00880DC3">
      <w:pPr>
        <w:widowControl w:val="0"/>
        <w:spacing w:before="120"/>
        <w:ind w:right="119"/>
        <w:jc w:val="both"/>
        <w:rPr>
          <w:rFonts w:ascii="Verdana" w:eastAsia="Verdana" w:hAnsi="Verdana" w:cs="Verdana"/>
        </w:rPr>
      </w:pPr>
      <w:r>
        <w:rPr>
          <w:rFonts w:ascii="Verdana" w:eastAsia="Verdana" w:hAnsi="Verdana" w:cs="Verdana"/>
        </w:rPr>
        <w:t xml:space="preserve">Si el verificador seleccionado es una persona jurídica, la competencia se demostrará con el Registro Único de Proponentes (RUP) y las certificaciones de experiencia de servicios prestados allí y relacionados con: </w:t>
      </w:r>
    </w:p>
    <w:p w14:paraId="3445D027" w14:textId="76839BF4" w:rsidR="000A3508" w:rsidRDefault="00880DC3">
      <w:pPr>
        <w:widowControl w:val="0"/>
        <w:numPr>
          <w:ilvl w:val="0"/>
          <w:numId w:val="6"/>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Inventarios organizacionales de gases de efecto invernadero y fuentes de emisión de GEI.</w:t>
      </w:r>
    </w:p>
    <w:p w14:paraId="3445D028" w14:textId="77777777" w:rsidR="000A3508" w:rsidRDefault="00880DC3">
      <w:pPr>
        <w:widowControl w:val="0"/>
        <w:numPr>
          <w:ilvl w:val="0"/>
          <w:numId w:val="6"/>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Estándares o metodologías para la elaboración de inventarios de GEI.</w:t>
      </w:r>
    </w:p>
    <w:p w14:paraId="3445D029" w14:textId="77777777" w:rsidR="000A3508" w:rsidRDefault="00880DC3">
      <w:pPr>
        <w:widowControl w:val="0"/>
        <w:numPr>
          <w:ilvl w:val="0"/>
          <w:numId w:val="6"/>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color w:val="000000"/>
        </w:rPr>
        <w:t xml:space="preserve">Cálculo de emisiones de GEI y métodos de cuantificación o estimación de emisiones de GEI. </w:t>
      </w:r>
    </w:p>
    <w:p w14:paraId="3445D02A" w14:textId="77777777" w:rsidR="000A3508" w:rsidRDefault="00880DC3">
      <w:pPr>
        <w:widowControl w:val="0"/>
        <w:numPr>
          <w:ilvl w:val="0"/>
          <w:numId w:val="6"/>
        </w:numPr>
        <w:pBdr>
          <w:top w:val="nil"/>
          <w:left w:val="nil"/>
          <w:bottom w:val="nil"/>
          <w:right w:val="nil"/>
          <w:between w:val="nil"/>
        </w:pBdr>
        <w:spacing w:before="120" w:after="0" w:line="240" w:lineRule="auto"/>
        <w:ind w:right="119"/>
        <w:jc w:val="both"/>
        <w:rPr>
          <w:rFonts w:ascii="Verdana" w:eastAsia="Verdana" w:hAnsi="Verdana" w:cs="Verdana"/>
          <w:color w:val="000000"/>
        </w:rPr>
      </w:pPr>
      <w:r>
        <w:rPr>
          <w:rFonts w:ascii="Verdana" w:eastAsia="Verdana" w:hAnsi="Verdana" w:cs="Verdana"/>
        </w:rPr>
        <w:t>Auditorías</w:t>
      </w:r>
      <w:r>
        <w:rPr>
          <w:rFonts w:ascii="Verdana" w:eastAsia="Verdana" w:hAnsi="Verdana" w:cs="Verdana"/>
          <w:color w:val="000000"/>
        </w:rPr>
        <w:t xml:space="preserve"> de inventarios organizacionales de GEI. </w:t>
      </w:r>
    </w:p>
    <w:p w14:paraId="67AE6F1C" w14:textId="77777777" w:rsidR="00696BB0" w:rsidRDefault="00696BB0">
      <w:pPr>
        <w:jc w:val="both"/>
        <w:rPr>
          <w:rFonts w:ascii="Verdana" w:eastAsia="Verdana" w:hAnsi="Verdana" w:cs="Verdana"/>
          <w:b/>
          <w:bCs/>
        </w:rPr>
      </w:pPr>
    </w:p>
    <w:p w14:paraId="3445D02C" w14:textId="10715AA0" w:rsidR="000A3508" w:rsidRDefault="00880DC3">
      <w:pPr>
        <w:jc w:val="both"/>
        <w:rPr>
          <w:rFonts w:ascii="Verdana" w:eastAsia="Verdana" w:hAnsi="Verdana" w:cs="Verdana"/>
        </w:rPr>
      </w:pPr>
      <w:r>
        <w:rPr>
          <w:rFonts w:ascii="Verdana" w:eastAsia="Verdana" w:hAnsi="Verdana" w:cs="Verdana"/>
          <w:b/>
          <w:bCs/>
        </w:rPr>
        <w:t>Parágrafo 1.</w:t>
      </w:r>
      <w:r>
        <w:rPr>
          <w:rFonts w:ascii="Verdana" w:eastAsia="Verdana" w:hAnsi="Verdana" w:cs="Verdana"/>
        </w:rPr>
        <w:t xml:space="preserve"> El verificador deberá abstenerse de prestar los servicios de evaluación de la conformidad, de forma directa o a través de terceros, a personas jurídicas obligadas a reportar, en los casos en que este haya participado en procesos de cuantificación, medición y/o estimación de las emisiones de GEI de dicha organización. </w:t>
      </w:r>
    </w:p>
    <w:p w14:paraId="3445D02D" w14:textId="646B1E11" w:rsidR="000A3508" w:rsidRDefault="00880DC3">
      <w:pPr>
        <w:jc w:val="both"/>
        <w:rPr>
          <w:rFonts w:ascii="Verdana" w:eastAsia="Verdana" w:hAnsi="Verdana" w:cs="Verdana"/>
        </w:rPr>
      </w:pPr>
      <w:r>
        <w:rPr>
          <w:rFonts w:ascii="Verdana" w:eastAsia="Verdana" w:hAnsi="Verdana" w:cs="Verdana"/>
        </w:rPr>
        <w:t xml:space="preserve">Así mismo, la persona natural o jurídica que preste sus servicios de evaluación de la conformidad de primera </w:t>
      </w:r>
      <w:r w:rsidR="0066524E">
        <w:rPr>
          <w:rFonts w:ascii="Verdana" w:eastAsia="Verdana" w:hAnsi="Verdana" w:cs="Verdana"/>
        </w:rPr>
        <w:t>parte</w:t>
      </w:r>
      <w:r>
        <w:rPr>
          <w:rFonts w:ascii="Verdana" w:eastAsia="Verdana" w:hAnsi="Verdana" w:cs="Verdana"/>
        </w:rPr>
        <w:t xml:space="preserve"> no podrá realizar más de tres (3) ejercicios de verificación consecutivos respecto de la misma persona jurídica obligada a reportar, condición que aplica también al personal que integre los equipos de verificación. Se aceptarán siempre y </w:t>
      </w:r>
      <w:sdt>
        <w:sdtPr>
          <w:tag w:val="goog_rdk_122"/>
          <w:id w:val="-2094063979"/>
        </w:sdtPr>
        <w:sdtContent>
          <w:sdt>
            <w:sdtPr>
              <w:tag w:val="goog_rdk_123"/>
              <w:id w:val="-537424470"/>
            </w:sdtPr>
            <w:sdtContent>
              <w:r>
                <w:rPr>
                  <w:rFonts w:ascii="Verdana" w:eastAsia="Verdana" w:hAnsi="Verdana" w:cs="Verdana"/>
                </w:rPr>
                <w:t>cuando exista</w:t>
              </w:r>
            </w:sdtContent>
          </w:sdt>
        </w:sdtContent>
      </w:sdt>
      <w:sdt>
        <w:sdtPr>
          <w:tag w:val="goog_rdk_124"/>
          <w:id w:val="-1886672906"/>
        </w:sdtPr>
        <w:sdtContent>
          <w:sdt>
            <w:sdtPr>
              <w:tag w:val="goog_rdk_125"/>
              <w:id w:val="-1006372536"/>
              <w:showingPlcHdr/>
            </w:sdtPr>
            <w:sdtContent>
              <w:r w:rsidR="00A642AE">
                <w:t xml:space="preserve">     </w:t>
              </w:r>
            </w:sdtContent>
          </w:sdt>
        </w:sdtContent>
      </w:sdt>
      <w:r>
        <w:rPr>
          <w:rFonts w:ascii="Verdana" w:eastAsia="Verdana" w:hAnsi="Verdana" w:cs="Verdana"/>
        </w:rPr>
        <w:t xml:space="preserve"> un periodo de verificación intermedio en el que no se preste el servicio para la misma organización.  </w:t>
      </w:r>
    </w:p>
    <w:p w14:paraId="3445D02E" w14:textId="2744F7DB" w:rsidR="000A3508" w:rsidRDefault="00880DC3">
      <w:pPr>
        <w:jc w:val="both"/>
        <w:rPr>
          <w:rFonts w:ascii="Verdana" w:eastAsia="Verdana" w:hAnsi="Verdana" w:cs="Verdana"/>
          <w:strike/>
          <w:highlight w:val="red"/>
        </w:rPr>
      </w:pPr>
      <w:r>
        <w:rPr>
          <w:rFonts w:ascii="Verdana" w:eastAsia="Verdana" w:hAnsi="Verdana" w:cs="Verdana"/>
          <w:b/>
          <w:bCs/>
        </w:rPr>
        <w:t>Artículo 2</w:t>
      </w:r>
      <w:r w:rsidR="007B39A6">
        <w:rPr>
          <w:rFonts w:ascii="Verdana" w:eastAsia="Verdana" w:hAnsi="Verdana" w:cs="Verdana"/>
          <w:b/>
          <w:bCs/>
        </w:rPr>
        <w:t>5</w:t>
      </w:r>
      <w:r>
        <w:rPr>
          <w:rFonts w:ascii="Verdana" w:eastAsia="Verdana" w:hAnsi="Verdana" w:cs="Verdana"/>
          <w:b/>
          <w:bCs/>
        </w:rPr>
        <w:t>. Procesos de verificación de tercera parte</w:t>
      </w:r>
      <w:r>
        <w:rPr>
          <w:rFonts w:ascii="Verdana" w:eastAsia="Verdana" w:hAnsi="Verdana" w:cs="Verdana"/>
        </w:rPr>
        <w:t xml:space="preserve">. Las personas jurídicas que someten su </w:t>
      </w:r>
      <w:r>
        <w:rPr>
          <w:rFonts w:ascii="Verdana" w:eastAsia="Verdana" w:hAnsi="Verdana" w:cs="Verdana"/>
          <w:color w:val="000000"/>
        </w:rPr>
        <w:t xml:space="preserve">informe de emisiones de GEI </w:t>
      </w:r>
      <w:r>
        <w:rPr>
          <w:rFonts w:ascii="Verdana" w:eastAsia="Verdana" w:hAnsi="Verdana" w:cs="Verdana"/>
        </w:rPr>
        <w:t>a verificación de tercera parte, según las condiciones del artículo 2</w:t>
      </w:r>
      <w:r w:rsidR="008B0970">
        <w:rPr>
          <w:rFonts w:ascii="Verdana" w:eastAsia="Verdana" w:hAnsi="Verdana" w:cs="Verdana"/>
        </w:rPr>
        <w:t>3</w:t>
      </w:r>
      <w:r>
        <w:rPr>
          <w:rFonts w:ascii="Verdana" w:eastAsia="Verdana" w:hAnsi="Verdana" w:cs="Verdana"/>
        </w:rPr>
        <w:t xml:space="preserve"> de la presente Resolución, deberán </w:t>
      </w:r>
      <w:r>
        <w:rPr>
          <w:rFonts w:ascii="Verdana" w:eastAsia="Verdana" w:hAnsi="Verdana" w:cs="Verdana"/>
        </w:rPr>
        <w:lastRenderedPageBreak/>
        <w:t>garantizar que el verificador seleccionado para dicho proceso de evaluación de la conformidad sea un organismo de validación y verificación acreditado por el Organismo Nacional de Acreditación de Colombia (ONAC), según los términos señalados en el artículo 34 de la Ley 2169 de 2021.</w:t>
      </w:r>
    </w:p>
    <w:p w14:paraId="3445D02F" w14:textId="1BE55517" w:rsidR="000A3508" w:rsidRDefault="00880DC3">
      <w:pPr>
        <w:jc w:val="both"/>
        <w:rPr>
          <w:rFonts w:ascii="Verdana" w:eastAsia="Verdana" w:hAnsi="Verdana" w:cs="Verdana"/>
        </w:rPr>
      </w:pPr>
      <w:r>
        <w:rPr>
          <w:rFonts w:ascii="Verdana" w:eastAsia="Verdana" w:hAnsi="Verdana" w:cs="Verdana"/>
        </w:rPr>
        <w:t>La acreditación del</w:t>
      </w:r>
      <w:r w:rsidR="00E70E3C" w:rsidRPr="00E70E3C">
        <w:t xml:space="preserve"> </w:t>
      </w:r>
      <w:r w:rsidR="00E70E3C" w:rsidRPr="00E70E3C">
        <w:rPr>
          <w:rFonts w:ascii="Verdana" w:eastAsia="Verdana" w:hAnsi="Verdana" w:cs="Verdana"/>
        </w:rPr>
        <w:t xml:space="preserve">organismo de validación y </w:t>
      </w:r>
      <w:r w:rsidR="00B7252E">
        <w:rPr>
          <w:rFonts w:ascii="Verdana" w:eastAsia="Verdana" w:hAnsi="Verdana" w:cs="Verdana"/>
        </w:rPr>
        <w:t xml:space="preserve">verificación de GEI (OVV-GEI) </w:t>
      </w:r>
      <w:r>
        <w:rPr>
          <w:rFonts w:ascii="Verdana" w:eastAsia="Verdana" w:hAnsi="Verdana" w:cs="Verdana"/>
        </w:rPr>
        <w:t xml:space="preserve">seleccionado deberá incluir en su alcance el protocolo de cuantificación y reporte de emisiones de GEI </w:t>
      </w:r>
      <w:r w:rsidR="00A767A0">
        <w:rPr>
          <w:rFonts w:ascii="Verdana" w:eastAsia="Verdana" w:hAnsi="Verdana" w:cs="Verdana"/>
        </w:rPr>
        <w:t xml:space="preserve">o Protocolo ROE, </w:t>
      </w:r>
      <w:r>
        <w:rPr>
          <w:rFonts w:ascii="Verdana" w:eastAsia="Verdana" w:hAnsi="Verdana" w:cs="Verdana"/>
        </w:rPr>
        <w:t>adoptado en el artículo 1</w:t>
      </w:r>
      <w:r w:rsidR="008B0970">
        <w:rPr>
          <w:rFonts w:ascii="Verdana" w:eastAsia="Verdana" w:hAnsi="Verdana" w:cs="Verdana"/>
        </w:rPr>
        <w:t>7</w:t>
      </w:r>
      <w:r>
        <w:rPr>
          <w:rFonts w:ascii="Verdana" w:eastAsia="Verdana" w:hAnsi="Verdana" w:cs="Verdana"/>
        </w:rPr>
        <w:t xml:space="preserve"> de la presente resolución y el sector pertinente bajo el cual se declara competencia para ejercer verificación de inventarios organizacionales de GEI.</w:t>
      </w:r>
    </w:p>
    <w:p w14:paraId="3445D030" w14:textId="47FE269A" w:rsidR="000A3508" w:rsidRDefault="00880DC3">
      <w:pPr>
        <w:jc w:val="both"/>
        <w:rPr>
          <w:rFonts w:ascii="Verdana" w:eastAsia="Verdana" w:hAnsi="Verdana" w:cs="Verdana"/>
        </w:rPr>
      </w:pPr>
      <w:r>
        <w:rPr>
          <w:rFonts w:ascii="Verdana" w:eastAsia="Verdana" w:hAnsi="Verdana" w:cs="Verdana"/>
          <w:b/>
          <w:bCs/>
        </w:rPr>
        <w:t>Parágrafo Transitorio.</w:t>
      </w:r>
      <w:r>
        <w:rPr>
          <w:rFonts w:ascii="Verdana" w:eastAsia="Verdana" w:hAnsi="Verdana" w:cs="Verdana"/>
        </w:rPr>
        <w:t xml:space="preserve"> </w:t>
      </w:r>
      <w:r>
        <w:t xml:space="preserve"> </w:t>
      </w:r>
      <w:r>
        <w:rPr>
          <w:rFonts w:ascii="Verdana" w:eastAsia="Verdana" w:hAnsi="Verdana" w:cs="Verdana"/>
        </w:rPr>
        <w:t xml:space="preserve">Durante un plazo máximo de dos (2) años, contados a partir de la expedición de la presente resolución, se permitirá la verificación de los informes de emisiones de GEI por parte de los OVV-GEI acreditados por ONAC cuyo alcance corresponda al esquema de acreditación para organismos de verificación de inventarios organizacionales de GEI bajo las normas ISO/IEC 17029 e ISO 14064-1, o bajo el GHG </w:t>
      </w:r>
      <w:proofErr w:type="spellStart"/>
      <w:r>
        <w:rPr>
          <w:rFonts w:ascii="Verdana" w:eastAsia="Verdana" w:hAnsi="Verdana" w:cs="Verdana"/>
        </w:rPr>
        <w:t>Protocol</w:t>
      </w:r>
      <w:proofErr w:type="spellEnd"/>
      <w:r>
        <w:rPr>
          <w:rFonts w:ascii="Verdana" w:eastAsia="Verdana" w:hAnsi="Verdana" w:cs="Verdana"/>
        </w:rPr>
        <w:t xml:space="preserve"> en su versión más reciente o en aquella que lo sustituya. Vencido este plazo, únicamente serán aceptadas, acreditaciones cuyo alcance incluya expresamente el protocolo de cuantificación y reporte de emisiones de GEI </w:t>
      </w:r>
      <w:r w:rsidR="00B70282">
        <w:rPr>
          <w:rFonts w:ascii="Verdana" w:eastAsia="Verdana" w:hAnsi="Verdana" w:cs="Verdana"/>
        </w:rPr>
        <w:t xml:space="preserve">o Protocolo ROE, a que se refiere </w:t>
      </w:r>
      <w:r>
        <w:rPr>
          <w:rFonts w:ascii="Verdana" w:eastAsia="Verdana" w:hAnsi="Verdana" w:cs="Verdana"/>
        </w:rPr>
        <w:t>el artículo 1</w:t>
      </w:r>
      <w:r w:rsidR="008B0970">
        <w:rPr>
          <w:rFonts w:ascii="Verdana" w:eastAsia="Verdana" w:hAnsi="Verdana" w:cs="Verdana"/>
        </w:rPr>
        <w:t>7</w:t>
      </w:r>
      <w:r>
        <w:rPr>
          <w:rFonts w:ascii="Verdana" w:eastAsia="Verdana" w:hAnsi="Verdana" w:cs="Verdana"/>
        </w:rPr>
        <w:t xml:space="preserve"> de esta resolución.</w:t>
      </w:r>
    </w:p>
    <w:p w14:paraId="3445D031" w14:textId="1FBBA6B4" w:rsidR="000A3508" w:rsidRPr="00FF15AF" w:rsidRDefault="00880DC3">
      <w:pPr>
        <w:jc w:val="both"/>
        <w:rPr>
          <w:rFonts w:ascii="Verdana" w:eastAsia="Verdana" w:hAnsi="Verdana" w:cs="Verdana"/>
        </w:rPr>
      </w:pPr>
      <w:r w:rsidRPr="00241A80">
        <w:rPr>
          <w:rFonts w:ascii="Verdana" w:eastAsia="Verdana" w:hAnsi="Verdana" w:cs="Verdana"/>
        </w:rPr>
        <w:t xml:space="preserve">Durante este periodo transitorio también se admitirán verificaciones realizadas por parte de OVV-GEI acreditados por un organismo de acreditación miembro signatario del </w:t>
      </w:r>
      <w:r w:rsidR="001D6025" w:rsidRPr="00241A80">
        <w:rPr>
          <w:rFonts w:ascii="Verdana" w:eastAsia="Verdana" w:hAnsi="Verdana" w:cs="Verdana"/>
        </w:rPr>
        <w:t xml:space="preserve">Global </w:t>
      </w:r>
      <w:proofErr w:type="spellStart"/>
      <w:r w:rsidR="001D6025" w:rsidRPr="00241A80">
        <w:rPr>
          <w:rFonts w:ascii="Verdana" w:eastAsia="Verdana" w:hAnsi="Verdana" w:cs="Verdana"/>
        </w:rPr>
        <w:t>Accreditation</w:t>
      </w:r>
      <w:proofErr w:type="spellEnd"/>
      <w:r w:rsidR="001D6025" w:rsidRPr="00241A80">
        <w:rPr>
          <w:rFonts w:ascii="Verdana" w:eastAsia="Verdana" w:hAnsi="Verdana" w:cs="Verdana"/>
        </w:rPr>
        <w:t xml:space="preserve"> </w:t>
      </w:r>
      <w:proofErr w:type="spellStart"/>
      <w:r w:rsidR="001D6025" w:rsidRPr="00241A80">
        <w:rPr>
          <w:rFonts w:ascii="Verdana" w:eastAsia="Verdana" w:hAnsi="Verdana" w:cs="Verdana"/>
        </w:rPr>
        <w:t>Cooperation</w:t>
      </w:r>
      <w:proofErr w:type="spellEnd"/>
      <w:r w:rsidR="001D6025" w:rsidRPr="00241A80">
        <w:rPr>
          <w:rFonts w:ascii="Verdana" w:eastAsia="Verdana" w:hAnsi="Verdana" w:cs="Verdana"/>
        </w:rPr>
        <w:t xml:space="preserve"> </w:t>
      </w:r>
      <w:proofErr w:type="spellStart"/>
      <w:r w:rsidR="001D6025" w:rsidRPr="00241A80">
        <w:rPr>
          <w:rFonts w:ascii="Verdana" w:eastAsia="Verdana" w:hAnsi="Verdana" w:cs="Verdana"/>
        </w:rPr>
        <w:t>Incorporated</w:t>
      </w:r>
      <w:proofErr w:type="spellEnd"/>
      <w:r w:rsidR="001D6025" w:rsidRPr="00241A80">
        <w:rPr>
          <w:rFonts w:ascii="Verdana" w:eastAsia="Verdana" w:hAnsi="Verdana" w:cs="Verdana"/>
        </w:rPr>
        <w:t xml:space="preserve"> (Global ACI</w:t>
      </w:r>
      <w:r w:rsidR="00586BD0" w:rsidRPr="00241A80">
        <w:rPr>
          <w:rFonts w:ascii="Verdana" w:eastAsia="Verdana" w:hAnsi="Verdana" w:cs="Verdana"/>
        </w:rPr>
        <w:t xml:space="preserve"> por sus </w:t>
      </w:r>
      <w:r w:rsidRPr="00FF15AF">
        <w:rPr>
          <w:rFonts w:ascii="Verdana" w:eastAsia="Verdana" w:hAnsi="Verdana" w:cs="Verdana"/>
        </w:rPr>
        <w:t xml:space="preserve">siglas en inglés) con alcance al esquema de acreditación de organismos de verificación de inventarios organizacionales de GEI bajo la norma ISO/IEC 17029 e ISO 14064-1, según aplique, en su versión más reciente o aquella que la </w:t>
      </w:r>
      <w:r w:rsidR="004A4223" w:rsidRPr="00FF15AF">
        <w:rPr>
          <w:rFonts w:ascii="Verdana" w:eastAsia="Verdana" w:hAnsi="Verdana" w:cs="Verdana"/>
        </w:rPr>
        <w:t xml:space="preserve">modifique o </w:t>
      </w:r>
      <w:r w:rsidRPr="00FF15AF">
        <w:rPr>
          <w:rFonts w:ascii="Verdana" w:eastAsia="Verdana" w:hAnsi="Verdana" w:cs="Verdana"/>
        </w:rPr>
        <w:t xml:space="preserve">sustituya, hasta cuando se cuente con un Acuerdos de Reconocimiento Multilateral (MLA, por sus siglas en inglés) de los que ONAC sea signatario bajo el </w:t>
      </w:r>
      <w:r w:rsidR="00241A80" w:rsidRPr="00FF15AF">
        <w:rPr>
          <w:rFonts w:ascii="Verdana" w:eastAsia="Verdana" w:hAnsi="Verdana" w:cs="Verdana"/>
        </w:rPr>
        <w:t xml:space="preserve">Global ACI </w:t>
      </w:r>
      <w:r w:rsidRPr="00FF15AF">
        <w:rPr>
          <w:rFonts w:ascii="Verdana" w:eastAsia="Verdana" w:hAnsi="Verdana" w:cs="Verdana"/>
        </w:rPr>
        <w:t xml:space="preserve">o los acuerdos de reconocimiento mutuo (ARM) establecidos con ONAC con alcance en la ISO 14064-1 o </w:t>
      </w:r>
      <w:r w:rsidRPr="00FF15AF">
        <w:rPr>
          <w:rFonts w:ascii="Verdana" w:eastAsia="Verdana" w:hAnsi="Verdana" w:cs="Verdana"/>
          <w:i/>
          <w:iCs/>
        </w:rPr>
        <w:t xml:space="preserve">GHG </w:t>
      </w:r>
      <w:proofErr w:type="spellStart"/>
      <w:r w:rsidRPr="00FF15AF">
        <w:rPr>
          <w:rFonts w:ascii="Verdana" w:eastAsia="Verdana" w:hAnsi="Verdana" w:cs="Verdana"/>
          <w:i/>
          <w:iCs/>
        </w:rPr>
        <w:t>Protocol</w:t>
      </w:r>
      <w:proofErr w:type="spellEnd"/>
      <w:r w:rsidRPr="00FF15AF">
        <w:rPr>
          <w:rFonts w:ascii="Verdana" w:eastAsia="Verdana" w:hAnsi="Verdana" w:cs="Verdana"/>
        </w:rPr>
        <w:t xml:space="preserve">, en el que ONAC sea miembro, periodo después del cual solo serán aceptados, las acreditaciones cuyo alcance incluya el protocolo de cuantificación y reporte de emisiones de GEI </w:t>
      </w:r>
      <w:r w:rsidR="004C1811" w:rsidRPr="00FF15AF">
        <w:rPr>
          <w:rFonts w:ascii="Verdana" w:eastAsia="Verdana" w:hAnsi="Verdana" w:cs="Verdana"/>
        </w:rPr>
        <w:t xml:space="preserve">o Protocolo ROE a que se refiere </w:t>
      </w:r>
      <w:r w:rsidRPr="00FF15AF">
        <w:rPr>
          <w:rFonts w:ascii="Verdana" w:eastAsia="Verdana" w:hAnsi="Verdana" w:cs="Verdana"/>
        </w:rPr>
        <w:t>el artículo 1</w:t>
      </w:r>
      <w:r w:rsidR="0069431F" w:rsidRPr="00FF15AF">
        <w:rPr>
          <w:rFonts w:ascii="Verdana" w:eastAsia="Verdana" w:hAnsi="Verdana" w:cs="Verdana"/>
        </w:rPr>
        <w:t>7</w:t>
      </w:r>
      <w:r w:rsidRPr="00FF15AF">
        <w:rPr>
          <w:rFonts w:ascii="Verdana" w:eastAsia="Verdana" w:hAnsi="Verdana" w:cs="Verdana"/>
        </w:rPr>
        <w:t xml:space="preserve"> de la presente resolución.</w:t>
      </w:r>
    </w:p>
    <w:p w14:paraId="3445D033" w14:textId="7CF70F78" w:rsidR="000A3508" w:rsidRDefault="00880DC3" w:rsidP="00DD218C">
      <w:pPr>
        <w:jc w:val="both"/>
        <w:rPr>
          <w:rFonts w:ascii="Verdana" w:eastAsia="Verdana" w:hAnsi="Verdana" w:cs="Verdana"/>
          <w:b/>
          <w:bCs/>
          <w:color w:val="000000"/>
        </w:rPr>
      </w:pPr>
      <w:r w:rsidRPr="00FF15AF">
        <w:rPr>
          <w:rFonts w:ascii="Verdana" w:eastAsia="Verdana" w:hAnsi="Verdana" w:cs="Verdana"/>
        </w:rPr>
        <w:t xml:space="preserve">Estos OVV-GEI deberán realizar los procesos de verificación en presencia de un observador competente asignado por el ONAC para informar en caso de inconsistencias al respectivo organismo acreditador miembro del </w:t>
      </w:r>
      <w:r w:rsidR="00241A80" w:rsidRPr="00FF15AF">
        <w:rPr>
          <w:rFonts w:ascii="Verdana" w:eastAsia="Verdana" w:hAnsi="Verdana" w:cs="Verdana"/>
        </w:rPr>
        <w:t>Global ACI</w:t>
      </w:r>
      <w:r w:rsidRPr="00FF15AF">
        <w:rPr>
          <w:rFonts w:ascii="Verdana" w:eastAsia="Verdana" w:hAnsi="Verdana" w:cs="Verdana"/>
        </w:rPr>
        <w:t>. Asimismo, dichos OVV-GEI deberán actuar en todo momento en el marco de la normativa nacional aplicable.</w:t>
      </w:r>
    </w:p>
    <w:p w14:paraId="3445D034" w14:textId="77777777" w:rsidR="000A3508" w:rsidRDefault="00880DC3">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Sección 5: Plataforma del ROE</w:t>
      </w:r>
    </w:p>
    <w:p w14:paraId="3445D035" w14:textId="77777777" w:rsidR="000A3508" w:rsidRDefault="000A3508">
      <w:pPr>
        <w:spacing w:after="0" w:line="240" w:lineRule="auto"/>
        <w:jc w:val="both"/>
        <w:rPr>
          <w:rFonts w:ascii="Verdana" w:eastAsia="Verdana" w:hAnsi="Verdana" w:cs="Verdana"/>
          <w:b/>
          <w:bCs/>
          <w:color w:val="000000"/>
        </w:rPr>
      </w:pPr>
    </w:p>
    <w:p w14:paraId="3445D036" w14:textId="4DDD8CC1" w:rsidR="000A3508" w:rsidRDefault="00880DC3">
      <w:pPr>
        <w:spacing w:after="0" w:line="240" w:lineRule="auto"/>
        <w:jc w:val="both"/>
        <w:rPr>
          <w:rFonts w:ascii="Verdana" w:eastAsia="Verdana" w:hAnsi="Verdana" w:cs="Verdana"/>
          <w:color w:val="000000"/>
        </w:rPr>
      </w:pPr>
      <w:r>
        <w:rPr>
          <w:rFonts w:ascii="Verdana" w:eastAsia="Verdana" w:hAnsi="Verdana" w:cs="Verdana"/>
          <w:b/>
          <w:bCs/>
          <w:color w:val="000000"/>
        </w:rPr>
        <w:t>Artículo 2</w:t>
      </w:r>
      <w:r w:rsidR="007B39A6">
        <w:rPr>
          <w:rFonts w:ascii="Verdana" w:eastAsia="Verdana" w:hAnsi="Verdana" w:cs="Verdana"/>
          <w:b/>
          <w:bCs/>
          <w:color w:val="000000"/>
        </w:rPr>
        <w:t>6</w:t>
      </w:r>
      <w:r>
        <w:rPr>
          <w:rFonts w:ascii="Verdana" w:eastAsia="Verdana" w:hAnsi="Verdana" w:cs="Verdana"/>
          <w:b/>
          <w:bCs/>
          <w:color w:val="000000"/>
        </w:rPr>
        <w:t xml:space="preserve">. Guía técnica de la plataforma del Reporte Obligatorio de Emisiones de GEI. </w:t>
      </w:r>
      <w:r>
        <w:rPr>
          <w:rFonts w:ascii="Verdana" w:eastAsia="Verdana" w:hAnsi="Verdana" w:cs="Verdana"/>
          <w:color w:val="000000"/>
        </w:rPr>
        <w:t>Adóptese la Guía Técnica para el uso, operación y gestión de la   de la Plataforma del Reporte Obligatorio de Emisiones de Gases de Efecto Invernadero</w:t>
      </w:r>
      <w:r w:rsidR="003049CD">
        <w:rPr>
          <w:rFonts w:ascii="Verdana" w:eastAsia="Verdana" w:hAnsi="Verdana" w:cs="Verdana"/>
          <w:color w:val="000000"/>
        </w:rPr>
        <w:t xml:space="preserve">- Plataforma </w:t>
      </w:r>
      <w:r>
        <w:rPr>
          <w:rFonts w:ascii="Verdana" w:eastAsia="Verdana" w:hAnsi="Verdana" w:cs="Verdana"/>
          <w:color w:val="000000"/>
        </w:rPr>
        <w:t>ROE, que hace que hace parte integral de la presente resolución.</w:t>
      </w:r>
    </w:p>
    <w:p w14:paraId="3445D037" w14:textId="77777777" w:rsidR="000A3508" w:rsidRDefault="000A3508">
      <w:pPr>
        <w:spacing w:after="0" w:line="240" w:lineRule="auto"/>
        <w:jc w:val="both"/>
        <w:rPr>
          <w:rFonts w:ascii="Verdana" w:eastAsia="Verdana" w:hAnsi="Verdana" w:cs="Verdana"/>
          <w:color w:val="000000"/>
        </w:rPr>
      </w:pPr>
    </w:p>
    <w:p w14:paraId="3445D038" w14:textId="0F382C43" w:rsidR="000A3508" w:rsidRDefault="00880DC3">
      <w:pPr>
        <w:spacing w:after="0" w:line="240" w:lineRule="auto"/>
        <w:jc w:val="both"/>
        <w:rPr>
          <w:rFonts w:ascii="Verdana" w:eastAsia="Verdana" w:hAnsi="Verdana" w:cs="Verdana"/>
          <w:color w:val="000000"/>
        </w:rPr>
      </w:pPr>
      <w:r>
        <w:rPr>
          <w:rFonts w:ascii="Verdana" w:eastAsia="Verdana" w:hAnsi="Verdana" w:cs="Verdana"/>
          <w:color w:val="000000"/>
        </w:rPr>
        <w:t xml:space="preserve">La guía técnica tiene como objetivo orientar a los usuarios en el uso de la Plataforma ROE para lo cual </w:t>
      </w:r>
      <w:r w:rsidR="000C084C">
        <w:rPr>
          <w:rFonts w:ascii="Verdana" w:eastAsia="Verdana" w:hAnsi="Verdana" w:cs="Verdana"/>
          <w:color w:val="000000"/>
        </w:rPr>
        <w:t>d</w:t>
      </w:r>
      <w:r>
        <w:rPr>
          <w:rFonts w:ascii="Verdana" w:eastAsia="Verdana" w:hAnsi="Verdana" w:cs="Verdana"/>
          <w:color w:val="000000"/>
        </w:rPr>
        <w:t>escribe</w:t>
      </w:r>
      <w:r w:rsidR="000C084C">
        <w:rPr>
          <w:rFonts w:ascii="Verdana" w:eastAsia="Verdana" w:hAnsi="Verdana" w:cs="Verdana"/>
          <w:color w:val="000000"/>
        </w:rPr>
        <w:t xml:space="preserve"> </w:t>
      </w:r>
      <w:r>
        <w:rPr>
          <w:rFonts w:ascii="Verdana" w:eastAsia="Verdana" w:hAnsi="Verdana" w:cs="Verdana"/>
          <w:color w:val="000000"/>
        </w:rPr>
        <w:t xml:space="preserve">su estructura, flujo de operación y los pasos </w:t>
      </w:r>
      <w:r>
        <w:rPr>
          <w:rFonts w:ascii="Verdana" w:eastAsia="Verdana" w:hAnsi="Verdana" w:cs="Verdana"/>
          <w:color w:val="000000"/>
        </w:rPr>
        <w:lastRenderedPageBreak/>
        <w:t>para el</w:t>
      </w:r>
      <w:r>
        <w:rPr>
          <w:rFonts w:ascii="Verdana" w:eastAsia="Verdana" w:hAnsi="Verdana" w:cs="Verdana"/>
          <w:b/>
          <w:bCs/>
          <w:color w:val="000000"/>
        </w:rPr>
        <w:t xml:space="preserve"> </w:t>
      </w:r>
      <w:r>
        <w:rPr>
          <w:rFonts w:ascii="Verdana" w:eastAsia="Verdana" w:hAnsi="Verdana" w:cs="Verdana"/>
          <w:color w:val="000000"/>
        </w:rPr>
        <w:t xml:space="preserve">registro y autenticación, cuantificación, reporte y consulta de información de las emisiones directas e indirectas generadas por las personas jurídicas públicas privadas o mixtas obligadas a reportar. </w:t>
      </w:r>
    </w:p>
    <w:p w14:paraId="3445D039" w14:textId="77777777" w:rsidR="000A3508" w:rsidRDefault="000A3508">
      <w:pPr>
        <w:spacing w:after="0" w:line="240" w:lineRule="auto"/>
        <w:jc w:val="both"/>
        <w:rPr>
          <w:rFonts w:ascii="Verdana" w:eastAsia="Verdana" w:hAnsi="Verdana" w:cs="Verdana"/>
          <w:color w:val="000000"/>
        </w:rPr>
      </w:pPr>
    </w:p>
    <w:p w14:paraId="3445D03A" w14:textId="77777777" w:rsidR="000A3508" w:rsidRDefault="00880DC3">
      <w:pPr>
        <w:jc w:val="both"/>
        <w:rPr>
          <w:rFonts w:ascii="Verdana" w:eastAsia="Verdana" w:hAnsi="Verdana" w:cs="Verdana"/>
          <w:color w:val="000000"/>
        </w:rPr>
      </w:pPr>
      <w:r>
        <w:rPr>
          <w:rFonts w:ascii="Verdana" w:eastAsia="Verdana" w:hAnsi="Verdana" w:cs="Verdana"/>
          <w:color w:val="000000"/>
        </w:rPr>
        <w:t>El Ministerio de Ambiente y Desarrollo Sostenible podrá actualizar la Guía Técnica de la plataforma del ROE, garantizando su publicidad y transparencia previo a su publicación en la página web del Ministerio.</w:t>
      </w:r>
    </w:p>
    <w:p w14:paraId="3445D03B" w14:textId="52FF29EB"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2</w:t>
      </w:r>
      <w:r w:rsidR="007B39A6">
        <w:rPr>
          <w:rFonts w:ascii="Verdana" w:eastAsia="Verdana" w:hAnsi="Verdana" w:cs="Verdana"/>
          <w:b/>
          <w:bCs/>
          <w:color w:val="000000"/>
        </w:rPr>
        <w:t>7</w:t>
      </w:r>
      <w:r>
        <w:rPr>
          <w:rFonts w:ascii="Verdana" w:eastAsia="Verdana" w:hAnsi="Verdana" w:cs="Verdana"/>
          <w:b/>
          <w:bCs/>
          <w:color w:val="000000"/>
        </w:rPr>
        <w:t xml:space="preserve">.  Pasos para el registro de la información en la plataforma ROE. </w:t>
      </w:r>
      <w:r>
        <w:rPr>
          <w:rFonts w:ascii="Verdana" w:eastAsia="Verdana" w:hAnsi="Verdana" w:cs="Verdana"/>
          <w:color w:val="000000"/>
        </w:rPr>
        <w:t>Las personas jurídicas públicas, privadas y mixtas obligadas a reportar las emisiones directas e indirectas de GEI, deberán cumplir con lo establecido en la Guía Técnica adoptada en el artículo 2</w:t>
      </w:r>
      <w:r w:rsidR="008B0970">
        <w:rPr>
          <w:rFonts w:ascii="Verdana" w:eastAsia="Verdana" w:hAnsi="Verdana" w:cs="Verdana"/>
          <w:color w:val="000000"/>
        </w:rPr>
        <w:t>6</w:t>
      </w:r>
      <w:r>
        <w:rPr>
          <w:rFonts w:ascii="Verdana" w:eastAsia="Verdana" w:hAnsi="Verdana" w:cs="Verdana"/>
          <w:color w:val="000000"/>
        </w:rPr>
        <w:t xml:space="preserve"> de la presente Resolución para el registro de la información en la plataforma ROE, de conformidad con los siguientes pasos:</w:t>
      </w:r>
    </w:p>
    <w:p w14:paraId="3445D03C"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3D" w14:textId="33160BDB"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Registro y autenticación</w:t>
      </w:r>
      <w:r w:rsidR="00E552C2">
        <w:rPr>
          <w:rFonts w:ascii="Verdana" w:eastAsia="Verdana" w:hAnsi="Verdana" w:cs="Verdana"/>
          <w:color w:val="000000"/>
        </w:rPr>
        <w:t>.</w:t>
      </w:r>
    </w:p>
    <w:p w14:paraId="3445D03E" w14:textId="4BF8633F"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Información de la organización</w:t>
      </w:r>
      <w:r w:rsidR="00E552C2">
        <w:rPr>
          <w:rFonts w:ascii="Verdana" w:eastAsia="Verdana" w:hAnsi="Verdana" w:cs="Verdana"/>
          <w:color w:val="000000"/>
        </w:rPr>
        <w:t>.</w:t>
      </w:r>
    </w:p>
    <w:p w14:paraId="3445D03F" w14:textId="21491A48"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Cuantificación de las emisiones de GEI</w:t>
      </w:r>
      <w:r w:rsidR="00E552C2">
        <w:rPr>
          <w:rFonts w:ascii="Verdana" w:eastAsia="Verdana" w:hAnsi="Verdana" w:cs="Verdana"/>
          <w:color w:val="000000"/>
        </w:rPr>
        <w:t>.</w:t>
      </w:r>
    </w:p>
    <w:p w14:paraId="3445D040" w14:textId="43140F28"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Reporte de las emisiones de GEI</w:t>
      </w:r>
      <w:r w:rsidR="00E552C2">
        <w:rPr>
          <w:rFonts w:ascii="Verdana" w:eastAsia="Verdana" w:hAnsi="Verdana" w:cs="Verdana"/>
          <w:color w:val="000000"/>
        </w:rPr>
        <w:t>.</w:t>
      </w:r>
    </w:p>
    <w:p w14:paraId="3445D041" w14:textId="5CBE78D8"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Visualización de resultados del reporte realizado</w:t>
      </w:r>
      <w:r w:rsidR="00E552C2">
        <w:rPr>
          <w:rFonts w:ascii="Verdana" w:eastAsia="Verdana" w:hAnsi="Verdana" w:cs="Verdana"/>
          <w:color w:val="000000"/>
        </w:rPr>
        <w:t>.</w:t>
      </w:r>
    </w:p>
    <w:p w14:paraId="3445D042" w14:textId="7906CE45" w:rsidR="000A3508" w:rsidRDefault="00880DC3">
      <w:pPr>
        <w:numPr>
          <w:ilvl w:val="0"/>
          <w:numId w:val="10"/>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Generación de</w:t>
      </w:r>
      <w:r w:rsidR="00F05E71">
        <w:rPr>
          <w:rFonts w:ascii="Verdana" w:eastAsia="Verdana" w:hAnsi="Verdana" w:cs="Verdana"/>
          <w:color w:val="000000"/>
        </w:rPr>
        <w:t xml:space="preserve"> la constancia de presentación del</w:t>
      </w:r>
      <w:r>
        <w:rPr>
          <w:rFonts w:ascii="Verdana" w:eastAsia="Verdana" w:hAnsi="Verdana" w:cs="Verdana"/>
          <w:color w:val="000000"/>
        </w:rPr>
        <w:t xml:space="preserve"> reporte.</w:t>
      </w:r>
    </w:p>
    <w:p w14:paraId="3445D043"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3445D044" w14:textId="3F8254BD"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Parágrafo</w:t>
      </w:r>
      <w:r>
        <w:rPr>
          <w:rFonts w:ascii="Verdana" w:eastAsia="Verdana" w:hAnsi="Verdana" w:cs="Verdana"/>
          <w:color w:val="000000"/>
        </w:rPr>
        <w:t>.  Las personas jurídicas públicas, privadas y mixtas que no superan el nivel de emisiones de GEI a que se refiere el artículo 1</w:t>
      </w:r>
      <w:r w:rsidR="008B0970">
        <w:rPr>
          <w:rFonts w:ascii="Verdana" w:eastAsia="Verdana" w:hAnsi="Verdana" w:cs="Verdana"/>
          <w:color w:val="000000"/>
        </w:rPr>
        <w:t>2</w:t>
      </w:r>
      <w:r>
        <w:rPr>
          <w:rFonts w:ascii="Verdana" w:eastAsia="Verdana" w:hAnsi="Verdana" w:cs="Verdana"/>
          <w:color w:val="000000"/>
        </w:rPr>
        <w:t xml:space="preserve"> de la presente resolución, deberán cumplir con los pasos a), b) y c) del presente artículo, y presentar la autodeclaración a que se refiere en el artículo 2</w:t>
      </w:r>
      <w:r w:rsidR="008B0970">
        <w:rPr>
          <w:rFonts w:ascii="Verdana" w:eastAsia="Verdana" w:hAnsi="Verdana" w:cs="Verdana"/>
          <w:color w:val="000000"/>
        </w:rPr>
        <w:t>2</w:t>
      </w:r>
      <w:r>
        <w:rPr>
          <w:rFonts w:ascii="Verdana" w:eastAsia="Verdana" w:hAnsi="Verdana" w:cs="Verdana"/>
          <w:color w:val="000000"/>
        </w:rPr>
        <w:t xml:space="preserve"> través de la plataforma ROE.</w:t>
      </w:r>
    </w:p>
    <w:p w14:paraId="3445D045"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261E5A2A" w14:textId="57E0A591" w:rsidR="00D932F1" w:rsidRPr="00643881" w:rsidRDefault="00880DC3" w:rsidP="00D932F1">
      <w:pPr>
        <w:jc w:val="both"/>
        <w:rPr>
          <w:rFonts w:ascii="Verdana" w:eastAsia="Verdana" w:hAnsi="Verdana" w:cs="Verdana"/>
          <w:lang w:val="es-CO"/>
        </w:rPr>
      </w:pPr>
      <w:r>
        <w:rPr>
          <w:rFonts w:ascii="Verdana" w:eastAsia="Verdana" w:hAnsi="Verdana" w:cs="Verdana"/>
          <w:b/>
          <w:bCs/>
          <w:color w:val="000000"/>
        </w:rPr>
        <w:t xml:space="preserve">Artículo </w:t>
      </w:r>
      <w:r w:rsidR="007B39A6">
        <w:rPr>
          <w:rFonts w:ascii="Verdana" w:eastAsia="Verdana" w:hAnsi="Verdana" w:cs="Verdana"/>
          <w:b/>
          <w:bCs/>
          <w:color w:val="000000"/>
        </w:rPr>
        <w:t>28</w:t>
      </w:r>
      <w:r>
        <w:rPr>
          <w:rFonts w:ascii="Verdana" w:eastAsia="Verdana" w:hAnsi="Verdana" w:cs="Verdana"/>
          <w:b/>
          <w:bCs/>
          <w:color w:val="000000"/>
        </w:rPr>
        <w:t>. Uso</w:t>
      </w:r>
      <w:r w:rsidR="004E3878">
        <w:rPr>
          <w:rFonts w:ascii="Verdana" w:eastAsia="Verdana" w:hAnsi="Verdana" w:cs="Verdana"/>
          <w:b/>
          <w:bCs/>
          <w:color w:val="000000"/>
        </w:rPr>
        <w:t xml:space="preserve"> y </w:t>
      </w:r>
      <w:r w:rsidR="000A7A0D">
        <w:rPr>
          <w:rFonts w:ascii="Verdana" w:eastAsia="Verdana" w:hAnsi="Verdana" w:cs="Verdana"/>
          <w:b/>
          <w:bCs/>
          <w:color w:val="000000"/>
        </w:rPr>
        <w:t>divulgación</w:t>
      </w:r>
      <w:r>
        <w:rPr>
          <w:rFonts w:ascii="Verdana" w:eastAsia="Verdana" w:hAnsi="Verdana" w:cs="Verdana"/>
          <w:b/>
          <w:bCs/>
          <w:color w:val="000000"/>
        </w:rPr>
        <w:t xml:space="preserve"> de la información del Reporte Obligatorio de Emisiones de GEI.</w:t>
      </w:r>
      <w:r>
        <w:rPr>
          <w:rFonts w:ascii="Verdana" w:eastAsia="Verdana" w:hAnsi="Verdana" w:cs="Verdana"/>
          <w:color w:val="000000"/>
        </w:rPr>
        <w:t xml:space="preserve"> La información registrada en el ROE será de carácter público conforme a lo establecido en la </w:t>
      </w:r>
      <w:r w:rsidR="00AA1D8B">
        <w:rPr>
          <w:rFonts w:ascii="Verdana" w:eastAsia="Verdana" w:hAnsi="Verdana" w:cs="Verdana"/>
          <w:color w:val="000000"/>
        </w:rPr>
        <w:t>L</w:t>
      </w:r>
      <w:r>
        <w:rPr>
          <w:rFonts w:ascii="Verdana" w:eastAsia="Verdana" w:hAnsi="Verdana" w:cs="Verdana"/>
          <w:color w:val="000000"/>
        </w:rPr>
        <w:t>ey 1712 de 2014</w:t>
      </w:r>
      <w:r w:rsidR="00B42398">
        <w:rPr>
          <w:rFonts w:ascii="Verdana" w:eastAsia="Verdana" w:hAnsi="Verdana" w:cs="Verdana"/>
          <w:color w:val="000000"/>
        </w:rPr>
        <w:t>.</w:t>
      </w:r>
      <w:r>
        <w:rPr>
          <w:rFonts w:ascii="Verdana" w:eastAsia="Verdana" w:hAnsi="Verdana" w:cs="Verdana"/>
          <w:color w:val="000000"/>
        </w:rPr>
        <w:t xml:space="preserve"> </w:t>
      </w:r>
      <w:r w:rsidR="00D932F1" w:rsidRPr="00643881">
        <w:rPr>
          <w:rFonts w:ascii="Verdana" w:eastAsia="Verdana" w:hAnsi="Verdana" w:cs="Verdana"/>
          <w:lang w:val="es-CO"/>
        </w:rPr>
        <w:t xml:space="preserve">El Ministerio de Ambiente y Desarrollo Sostenible utilizará esta información para la generación y publicación de </w:t>
      </w:r>
      <w:r w:rsidR="00D932F1" w:rsidRPr="00DD218C">
        <w:rPr>
          <w:rFonts w:ascii="Verdana" w:eastAsia="Verdana" w:hAnsi="Verdana" w:cs="Verdana"/>
          <w:lang w:val="es-CO"/>
        </w:rPr>
        <w:t>informes anuales</w:t>
      </w:r>
      <w:r w:rsidR="00D932F1" w:rsidRPr="00643881">
        <w:rPr>
          <w:rFonts w:ascii="Verdana" w:eastAsia="Verdana" w:hAnsi="Verdana" w:cs="Verdana"/>
          <w:lang w:val="es-CO"/>
        </w:rPr>
        <w:t xml:space="preserve">, así como de otros informes periódicos, análisis y reportes consolidados, que incluyan, entre otros, el análisis de tendencias de emisiones, evaluaciones sectoriales, evolución de las emisiones, seguimiento </w:t>
      </w:r>
      <w:r w:rsidR="00D932F1">
        <w:rPr>
          <w:rFonts w:ascii="Verdana" w:eastAsia="Verdana" w:hAnsi="Verdana" w:cs="Verdana"/>
          <w:lang w:val="es-CO"/>
        </w:rPr>
        <w:t xml:space="preserve">de </w:t>
      </w:r>
      <w:r w:rsidR="00D932F1" w:rsidRPr="00643881">
        <w:rPr>
          <w:rFonts w:ascii="Verdana" w:eastAsia="Verdana" w:hAnsi="Verdana" w:cs="Verdana"/>
          <w:lang w:val="es-CO"/>
        </w:rPr>
        <w:t>las obligaciones de reporte y demás información relevante para la gestión del cambio climático.</w:t>
      </w:r>
    </w:p>
    <w:p w14:paraId="5DAC0DAD" w14:textId="7D304F88" w:rsidR="00643881" w:rsidRPr="00DD218C" w:rsidRDefault="00D932F1">
      <w:pPr>
        <w:jc w:val="both"/>
        <w:rPr>
          <w:rFonts w:ascii="Verdana" w:eastAsia="Verdana" w:hAnsi="Verdana" w:cs="Verdana"/>
          <w:lang w:val="es-CO"/>
        </w:rPr>
      </w:pPr>
      <w:r w:rsidRPr="00643881">
        <w:rPr>
          <w:rFonts w:ascii="Verdana" w:eastAsia="Verdana" w:hAnsi="Verdana" w:cs="Verdana"/>
          <w:lang w:val="es-CO"/>
        </w:rPr>
        <w:t xml:space="preserve">Así mismo, el Ministerio </w:t>
      </w:r>
      <w:r>
        <w:rPr>
          <w:rFonts w:ascii="Verdana" w:eastAsia="Verdana" w:hAnsi="Verdana" w:cs="Verdana"/>
          <w:lang w:val="es-CO"/>
        </w:rPr>
        <w:t>pondrá a disposición y divulgará la</w:t>
      </w:r>
      <w:r w:rsidRPr="00643881">
        <w:rPr>
          <w:rFonts w:ascii="Verdana" w:eastAsia="Verdana" w:hAnsi="Verdana" w:cs="Verdana"/>
          <w:lang w:val="es-CO"/>
        </w:rPr>
        <w:t xml:space="preserve"> información agregada y consolidada a través de la plataforma ROE u otros medios oficiales, garantizando su acceso en condiciones de transparencia, disponibilidad y uso adecuado.</w:t>
      </w:r>
    </w:p>
    <w:p w14:paraId="264D919B" w14:textId="20D44DC8" w:rsidR="00BD0641" w:rsidRPr="000302BF" w:rsidRDefault="00880DC3">
      <w:pPr>
        <w:jc w:val="both"/>
        <w:rPr>
          <w:rFonts w:ascii="Verdana" w:eastAsia="Verdana" w:hAnsi="Verdana" w:cs="Verdana"/>
          <w:color w:val="000000"/>
        </w:rPr>
      </w:pPr>
      <w:r w:rsidRPr="000302BF">
        <w:rPr>
          <w:rFonts w:ascii="Verdana" w:eastAsia="Verdana" w:hAnsi="Verdana" w:cs="Verdana"/>
          <w:b/>
          <w:bCs/>
          <w:color w:val="000000"/>
        </w:rPr>
        <w:t xml:space="preserve">Artículo </w:t>
      </w:r>
      <w:r w:rsidR="007B39A6" w:rsidRPr="000302BF">
        <w:rPr>
          <w:rFonts w:ascii="Verdana" w:eastAsia="Verdana" w:hAnsi="Verdana" w:cs="Verdana"/>
          <w:b/>
          <w:bCs/>
          <w:color w:val="000000"/>
        </w:rPr>
        <w:t>29</w:t>
      </w:r>
      <w:r w:rsidRPr="000302BF">
        <w:rPr>
          <w:rFonts w:ascii="Verdana" w:eastAsia="Verdana" w:hAnsi="Verdana" w:cs="Verdana"/>
          <w:b/>
          <w:bCs/>
          <w:color w:val="000000"/>
        </w:rPr>
        <w:t xml:space="preserve">. Responsabilidad y veracidad de la información </w:t>
      </w:r>
      <w:r w:rsidR="000E2530" w:rsidRPr="000302BF">
        <w:rPr>
          <w:rFonts w:ascii="Verdana" w:eastAsia="Verdana" w:hAnsi="Verdana" w:cs="Verdana"/>
          <w:b/>
          <w:bCs/>
          <w:color w:val="000000"/>
        </w:rPr>
        <w:t>suministrada al ROE</w:t>
      </w:r>
      <w:r w:rsidRPr="000302BF">
        <w:rPr>
          <w:rFonts w:ascii="Verdana" w:eastAsia="Verdana" w:hAnsi="Verdana" w:cs="Verdana"/>
          <w:b/>
          <w:bCs/>
          <w:color w:val="000000"/>
        </w:rPr>
        <w:t xml:space="preserve">. </w:t>
      </w:r>
      <w:r w:rsidRPr="000302BF">
        <w:rPr>
          <w:rFonts w:ascii="Verdana" w:eastAsia="Verdana" w:hAnsi="Verdana" w:cs="Verdana"/>
          <w:color w:val="000000"/>
        </w:rPr>
        <w:t xml:space="preserve"> Las personas</w:t>
      </w:r>
      <w:r w:rsidR="00990796" w:rsidRPr="000302BF">
        <w:rPr>
          <w:rFonts w:ascii="Verdana" w:eastAsia="Verdana" w:hAnsi="Verdana" w:cs="Verdana"/>
          <w:color w:val="000000"/>
        </w:rPr>
        <w:t xml:space="preserve"> jurídicas</w:t>
      </w:r>
      <w:r w:rsidRPr="000302BF">
        <w:rPr>
          <w:rFonts w:ascii="Verdana" w:eastAsia="Verdana" w:hAnsi="Verdana" w:cs="Verdana"/>
          <w:color w:val="000000"/>
        </w:rPr>
        <w:t xml:space="preserve"> </w:t>
      </w:r>
      <w:r w:rsidR="00F00519" w:rsidRPr="000302BF">
        <w:rPr>
          <w:rFonts w:ascii="Verdana" w:eastAsia="Verdana" w:hAnsi="Verdana" w:cs="Verdana"/>
          <w:color w:val="000000"/>
        </w:rPr>
        <w:t xml:space="preserve">públicas, privadas o mixtas </w:t>
      </w:r>
      <w:r w:rsidR="00F31ACF" w:rsidRPr="000302BF">
        <w:rPr>
          <w:rFonts w:ascii="Verdana" w:eastAsia="Verdana" w:hAnsi="Verdana" w:cs="Verdana"/>
          <w:color w:val="000000"/>
        </w:rPr>
        <w:t xml:space="preserve">obligadas a </w:t>
      </w:r>
      <w:r w:rsidR="00A72241" w:rsidRPr="000302BF">
        <w:rPr>
          <w:rFonts w:ascii="Verdana" w:eastAsia="Verdana" w:hAnsi="Verdana" w:cs="Verdana"/>
          <w:color w:val="000000"/>
        </w:rPr>
        <w:t xml:space="preserve">cuantificar y </w:t>
      </w:r>
      <w:r w:rsidR="00F31ACF" w:rsidRPr="000302BF">
        <w:rPr>
          <w:rFonts w:ascii="Verdana" w:eastAsia="Verdana" w:hAnsi="Verdana" w:cs="Verdana"/>
          <w:color w:val="000000"/>
        </w:rPr>
        <w:t>reportar emisiones de GEI</w:t>
      </w:r>
      <w:r w:rsidR="00A72241" w:rsidRPr="000302BF">
        <w:rPr>
          <w:rFonts w:ascii="Verdana" w:eastAsia="Verdana" w:hAnsi="Verdana" w:cs="Verdana"/>
          <w:color w:val="000000"/>
        </w:rPr>
        <w:t xml:space="preserve"> y </w:t>
      </w:r>
      <w:r w:rsidR="00F00519" w:rsidRPr="000302BF">
        <w:rPr>
          <w:rFonts w:ascii="Verdana" w:eastAsia="Verdana" w:hAnsi="Verdana" w:cs="Verdana"/>
          <w:color w:val="000000"/>
        </w:rPr>
        <w:t xml:space="preserve">aquellas </w:t>
      </w:r>
      <w:r w:rsidR="00A72241" w:rsidRPr="000302BF">
        <w:rPr>
          <w:rFonts w:ascii="Verdana" w:eastAsia="Verdana" w:hAnsi="Verdana" w:cs="Verdana"/>
          <w:color w:val="000000"/>
        </w:rPr>
        <w:t xml:space="preserve">que presenten </w:t>
      </w:r>
      <w:r w:rsidR="0039339A" w:rsidRPr="000302BF">
        <w:rPr>
          <w:rFonts w:ascii="Verdana" w:eastAsia="Verdana" w:hAnsi="Verdana" w:cs="Verdana"/>
          <w:color w:val="000000"/>
        </w:rPr>
        <w:t xml:space="preserve">la autodeclaración </w:t>
      </w:r>
      <w:r w:rsidR="0002516B" w:rsidRPr="000302BF">
        <w:rPr>
          <w:rFonts w:ascii="Verdana" w:eastAsia="Verdana" w:hAnsi="Verdana" w:cs="Verdana"/>
          <w:color w:val="000000"/>
        </w:rPr>
        <w:t xml:space="preserve">de que trata el </w:t>
      </w:r>
      <w:r w:rsidR="00BD0641" w:rsidRPr="000302BF">
        <w:rPr>
          <w:rFonts w:ascii="Verdana" w:eastAsia="Verdana" w:hAnsi="Verdana" w:cs="Verdana"/>
          <w:color w:val="000000"/>
        </w:rPr>
        <w:t>artículo</w:t>
      </w:r>
      <w:r w:rsidR="0002516B" w:rsidRPr="000302BF">
        <w:rPr>
          <w:rFonts w:ascii="Verdana" w:eastAsia="Verdana" w:hAnsi="Verdana" w:cs="Verdana"/>
          <w:color w:val="000000"/>
        </w:rPr>
        <w:t xml:space="preserve"> 22 de la presente resolución</w:t>
      </w:r>
      <w:r w:rsidR="00BD0641" w:rsidRPr="000302BF">
        <w:rPr>
          <w:rFonts w:ascii="Verdana" w:eastAsia="Verdana" w:hAnsi="Verdana" w:cs="Verdana"/>
          <w:color w:val="000000"/>
        </w:rPr>
        <w:t xml:space="preserve"> serán responsables de la veracidad, integridad, consistencia y calidad de la información suministrada en el marco del Reporte Obligatorio de Emisiones de GEI (ROE).</w:t>
      </w:r>
      <w:r w:rsidR="00F31ACF" w:rsidRPr="000302BF">
        <w:rPr>
          <w:rFonts w:ascii="Verdana" w:eastAsia="Verdana" w:hAnsi="Verdana" w:cs="Verdana"/>
          <w:color w:val="000000"/>
        </w:rPr>
        <w:t xml:space="preserve"> </w:t>
      </w:r>
      <w:r w:rsidR="008B0970" w:rsidRPr="000302BF">
        <w:rPr>
          <w:rFonts w:ascii="Verdana" w:eastAsia="Verdana" w:hAnsi="Verdana" w:cs="Verdana"/>
          <w:color w:val="000000"/>
        </w:rPr>
        <w:t xml:space="preserve"> </w:t>
      </w:r>
    </w:p>
    <w:p w14:paraId="20B943D0" w14:textId="3055020B" w:rsidR="00004DF5" w:rsidRPr="000302BF" w:rsidRDefault="00880DC3">
      <w:pPr>
        <w:jc w:val="both"/>
        <w:rPr>
          <w:rFonts w:ascii="Verdana" w:eastAsia="Verdana" w:hAnsi="Verdana" w:cs="Verdana"/>
          <w:color w:val="000000"/>
        </w:rPr>
      </w:pPr>
      <w:r w:rsidRPr="000302BF">
        <w:rPr>
          <w:rFonts w:ascii="Verdana" w:eastAsia="Verdana" w:hAnsi="Verdana" w:cs="Verdana"/>
          <w:color w:val="000000"/>
        </w:rPr>
        <w:lastRenderedPageBreak/>
        <w:t xml:space="preserve">La información </w:t>
      </w:r>
      <w:r w:rsidR="00BD0641" w:rsidRPr="000302BF">
        <w:rPr>
          <w:rFonts w:ascii="Verdana" w:eastAsia="Verdana" w:hAnsi="Verdana" w:cs="Verdana"/>
          <w:color w:val="000000"/>
        </w:rPr>
        <w:t>registrada en la Plataforma ROE</w:t>
      </w:r>
      <w:r w:rsidR="00F34E32" w:rsidRPr="000302BF">
        <w:rPr>
          <w:rFonts w:ascii="Verdana" w:eastAsia="Verdana" w:hAnsi="Verdana" w:cs="Verdana"/>
          <w:color w:val="000000"/>
        </w:rPr>
        <w:t xml:space="preserve">, incluyendo los informes de emisiones de GEI, las autodeclaraciones y los documentos </w:t>
      </w:r>
      <w:r w:rsidR="00CF1C12" w:rsidRPr="000302BF">
        <w:rPr>
          <w:rFonts w:ascii="Verdana" w:eastAsia="Verdana" w:hAnsi="Verdana" w:cs="Verdana"/>
          <w:color w:val="000000"/>
        </w:rPr>
        <w:t xml:space="preserve">de soporte </w:t>
      </w:r>
      <w:r w:rsidR="00B2435F" w:rsidRPr="000302BF">
        <w:rPr>
          <w:rFonts w:ascii="Verdana" w:eastAsia="Verdana" w:hAnsi="Verdana" w:cs="Verdana"/>
          <w:color w:val="000000"/>
        </w:rPr>
        <w:t>correspondientes</w:t>
      </w:r>
      <w:r w:rsidR="00CF1C12" w:rsidRPr="000302BF">
        <w:rPr>
          <w:rFonts w:ascii="Verdana" w:eastAsia="Verdana" w:hAnsi="Verdana" w:cs="Verdana"/>
          <w:color w:val="000000"/>
        </w:rPr>
        <w:t xml:space="preserve">, </w:t>
      </w:r>
      <w:r w:rsidRPr="000302BF">
        <w:rPr>
          <w:rFonts w:ascii="Verdana" w:eastAsia="Verdana" w:hAnsi="Verdana" w:cs="Verdana"/>
          <w:color w:val="000000"/>
        </w:rPr>
        <w:t>deberá ser veraz y fidedigna</w:t>
      </w:r>
      <w:r w:rsidR="00CF1C12" w:rsidRPr="000302BF">
        <w:rPr>
          <w:rFonts w:ascii="Verdana" w:eastAsia="Verdana" w:hAnsi="Verdana" w:cs="Verdana"/>
          <w:color w:val="000000"/>
        </w:rPr>
        <w:t xml:space="preserve">. </w:t>
      </w:r>
    </w:p>
    <w:p w14:paraId="1C464CD0" w14:textId="27B493B9" w:rsidR="00356BDD" w:rsidRDefault="00004DF5" w:rsidP="006315FB">
      <w:pPr>
        <w:jc w:val="both"/>
        <w:rPr>
          <w:rFonts w:ascii="Verdana" w:eastAsia="Verdana" w:hAnsi="Verdana" w:cs="Verdana"/>
          <w:b/>
          <w:bCs/>
          <w:color w:val="000000"/>
        </w:rPr>
      </w:pPr>
      <w:r w:rsidRPr="000302BF">
        <w:rPr>
          <w:rFonts w:ascii="Verdana" w:eastAsia="Verdana" w:hAnsi="Verdana" w:cs="Verdana"/>
          <w:color w:val="000000"/>
        </w:rPr>
        <w:t xml:space="preserve">La presentación de dicha información </w:t>
      </w:r>
      <w:r w:rsidR="00880DC3" w:rsidRPr="000302BF">
        <w:rPr>
          <w:rFonts w:ascii="Verdana" w:eastAsia="Verdana" w:hAnsi="Verdana" w:cs="Verdana"/>
          <w:color w:val="000000"/>
        </w:rPr>
        <w:t xml:space="preserve">se entenderá </w:t>
      </w:r>
      <w:r w:rsidRPr="000302BF">
        <w:rPr>
          <w:rFonts w:ascii="Verdana" w:eastAsia="Verdana" w:hAnsi="Verdana" w:cs="Verdana"/>
          <w:color w:val="000000"/>
        </w:rPr>
        <w:t xml:space="preserve">realizada </w:t>
      </w:r>
      <w:r w:rsidR="00880DC3" w:rsidRPr="000302BF">
        <w:rPr>
          <w:rFonts w:ascii="Verdana" w:eastAsia="Verdana" w:hAnsi="Verdana" w:cs="Verdana"/>
          <w:color w:val="000000"/>
        </w:rPr>
        <w:t>bajo la gravedad del juramento</w:t>
      </w:r>
      <w:r w:rsidR="001A1E61" w:rsidRPr="000302BF">
        <w:rPr>
          <w:rFonts w:ascii="Verdana" w:eastAsia="Verdana" w:hAnsi="Verdana" w:cs="Verdana"/>
          <w:color w:val="000000"/>
        </w:rPr>
        <w:t xml:space="preserve"> con su registro en la Plataforma ROE y, cuando </w:t>
      </w:r>
      <w:r w:rsidR="00830135" w:rsidRPr="000302BF">
        <w:rPr>
          <w:rFonts w:ascii="Verdana" w:eastAsia="Verdana" w:hAnsi="Verdana" w:cs="Verdana"/>
          <w:color w:val="000000"/>
        </w:rPr>
        <w:t xml:space="preserve">corresponda, con </w:t>
      </w:r>
      <w:r w:rsidR="00880DC3" w:rsidRPr="000302BF">
        <w:rPr>
          <w:rFonts w:ascii="Verdana" w:eastAsia="Verdana" w:hAnsi="Verdana" w:cs="Verdana"/>
          <w:color w:val="000000"/>
        </w:rPr>
        <w:t xml:space="preserve">la entrega de los informes de verificación </w:t>
      </w:r>
      <w:sdt>
        <w:sdtPr>
          <w:tag w:val="goog_rdk_130"/>
          <w:id w:val="1054311019"/>
        </w:sdtPr>
        <w:sdtContent/>
      </w:sdt>
      <w:r w:rsidR="00B2435F" w:rsidRPr="000302BF">
        <w:rPr>
          <w:rFonts w:ascii="Verdana" w:eastAsia="Verdana" w:hAnsi="Verdana" w:cs="Verdana"/>
          <w:color w:val="000000"/>
        </w:rPr>
        <w:t>respectivos</w:t>
      </w:r>
      <w:r w:rsidR="00880DC3" w:rsidRPr="000302BF">
        <w:rPr>
          <w:rFonts w:ascii="Verdana" w:eastAsia="Verdana" w:hAnsi="Verdana" w:cs="Verdana"/>
          <w:color w:val="000000"/>
        </w:rPr>
        <w:t>.</w:t>
      </w:r>
    </w:p>
    <w:p w14:paraId="3445D048" w14:textId="788EE078" w:rsidR="000A3508" w:rsidRDefault="00880DC3">
      <w:pPr>
        <w:pBdr>
          <w:top w:val="nil"/>
          <w:left w:val="nil"/>
          <w:bottom w:val="nil"/>
          <w:right w:val="nil"/>
          <w:between w:val="nil"/>
        </w:pBdr>
        <w:spacing w:after="0"/>
        <w:ind w:left="360"/>
        <w:jc w:val="center"/>
        <w:rPr>
          <w:rFonts w:ascii="Verdana" w:eastAsia="Verdana" w:hAnsi="Verdana" w:cs="Verdana"/>
          <w:b/>
          <w:bCs/>
          <w:color w:val="000000"/>
        </w:rPr>
      </w:pPr>
      <w:r>
        <w:rPr>
          <w:rFonts w:ascii="Verdana" w:eastAsia="Verdana" w:hAnsi="Verdana" w:cs="Verdana"/>
          <w:b/>
          <w:bCs/>
          <w:color w:val="000000"/>
        </w:rPr>
        <w:t>Sección 6: Estructura institucional del ROE</w:t>
      </w:r>
    </w:p>
    <w:p w14:paraId="3445D049"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523403A1" w14:textId="19B13E5E" w:rsidR="005400E4" w:rsidRPr="00A86F86"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3</w:t>
      </w:r>
      <w:r w:rsidR="007B39A6">
        <w:rPr>
          <w:rFonts w:ascii="Verdana" w:eastAsia="Verdana" w:hAnsi="Verdana" w:cs="Verdana"/>
          <w:b/>
          <w:bCs/>
          <w:color w:val="000000"/>
        </w:rPr>
        <w:t>0</w:t>
      </w:r>
      <w:r>
        <w:rPr>
          <w:rFonts w:ascii="Verdana" w:eastAsia="Verdana" w:hAnsi="Verdana" w:cs="Verdana"/>
          <w:b/>
          <w:bCs/>
          <w:color w:val="000000"/>
        </w:rPr>
        <w:t>. Estructura institucional</w:t>
      </w:r>
      <w:r w:rsidR="005400E4">
        <w:rPr>
          <w:rFonts w:ascii="Verdana" w:eastAsia="Verdana" w:hAnsi="Verdana" w:cs="Verdana"/>
          <w:b/>
          <w:bCs/>
          <w:color w:val="000000"/>
        </w:rPr>
        <w:t xml:space="preserve"> del ROE</w:t>
      </w:r>
      <w:r>
        <w:rPr>
          <w:rFonts w:ascii="Verdana" w:eastAsia="Verdana" w:hAnsi="Verdana" w:cs="Verdana"/>
          <w:b/>
          <w:bCs/>
          <w:color w:val="000000"/>
        </w:rPr>
        <w:t xml:space="preserve">. </w:t>
      </w:r>
      <w:r>
        <w:rPr>
          <w:rFonts w:ascii="Verdana" w:eastAsia="Verdana" w:hAnsi="Verdana" w:cs="Verdana"/>
          <w:color w:val="000000"/>
        </w:rPr>
        <w:t xml:space="preserve">La estructura institucional del ROE estará conformada por el </w:t>
      </w:r>
      <w:r w:rsidR="00617C84">
        <w:rPr>
          <w:rFonts w:ascii="Verdana" w:eastAsia="Verdana" w:hAnsi="Verdana" w:cs="Verdana"/>
          <w:color w:val="000000"/>
        </w:rPr>
        <w:t>c</w:t>
      </w:r>
      <w:r>
        <w:rPr>
          <w:rFonts w:ascii="Verdana" w:eastAsia="Verdana" w:hAnsi="Verdana" w:cs="Verdana"/>
          <w:color w:val="000000"/>
        </w:rPr>
        <w:t>oordinador del ROE</w:t>
      </w:r>
      <w:r w:rsidR="0023687D">
        <w:rPr>
          <w:rFonts w:ascii="Verdana" w:eastAsia="Verdana" w:hAnsi="Verdana" w:cs="Verdana"/>
          <w:color w:val="000000"/>
        </w:rPr>
        <w:t xml:space="preserve"> </w:t>
      </w:r>
      <w:r w:rsidR="005400E4">
        <w:rPr>
          <w:rFonts w:ascii="Verdana" w:eastAsia="Verdana" w:hAnsi="Verdana" w:cs="Verdana"/>
          <w:color w:val="000000"/>
        </w:rPr>
        <w:t xml:space="preserve">y </w:t>
      </w:r>
      <w:r w:rsidR="00AD484F">
        <w:rPr>
          <w:rFonts w:ascii="Verdana" w:eastAsia="Verdana" w:hAnsi="Verdana" w:cs="Verdana"/>
          <w:color w:val="000000"/>
        </w:rPr>
        <w:t>la unidad técnica</w:t>
      </w:r>
      <w:r w:rsidR="0027335F">
        <w:rPr>
          <w:rFonts w:ascii="Verdana" w:eastAsia="Verdana" w:hAnsi="Verdana" w:cs="Verdana"/>
          <w:color w:val="000000"/>
        </w:rPr>
        <w:t xml:space="preserve"> de apoyo</w:t>
      </w:r>
      <w:r w:rsidR="00EE56D7">
        <w:rPr>
          <w:rFonts w:ascii="Verdana" w:eastAsia="Verdana" w:hAnsi="Verdana" w:cs="Verdana"/>
          <w:color w:val="000000"/>
        </w:rPr>
        <w:t>.</w:t>
      </w:r>
    </w:p>
    <w:p w14:paraId="3445D04B" w14:textId="77777777" w:rsidR="000A3508" w:rsidRDefault="000A3508">
      <w:pPr>
        <w:pBdr>
          <w:top w:val="nil"/>
          <w:left w:val="nil"/>
          <w:bottom w:val="nil"/>
          <w:right w:val="nil"/>
          <w:between w:val="nil"/>
        </w:pBdr>
        <w:spacing w:after="0"/>
        <w:jc w:val="both"/>
        <w:rPr>
          <w:rFonts w:ascii="Verdana" w:eastAsia="Verdana" w:hAnsi="Verdana" w:cs="Verdana"/>
          <w:b/>
          <w:bCs/>
          <w:color w:val="000000"/>
        </w:rPr>
      </w:pPr>
    </w:p>
    <w:p w14:paraId="67C0E44A" w14:textId="3FB25DB6" w:rsidR="00B7252E"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3</w:t>
      </w:r>
      <w:r w:rsidR="007B39A6">
        <w:rPr>
          <w:rFonts w:ascii="Verdana" w:eastAsia="Verdana" w:hAnsi="Verdana" w:cs="Verdana"/>
          <w:b/>
          <w:bCs/>
          <w:color w:val="000000"/>
        </w:rPr>
        <w:t>1</w:t>
      </w:r>
      <w:r>
        <w:rPr>
          <w:rFonts w:ascii="Verdana" w:eastAsia="Verdana" w:hAnsi="Verdana" w:cs="Verdana"/>
          <w:b/>
          <w:bCs/>
          <w:color w:val="000000"/>
        </w:rPr>
        <w:t>.</w:t>
      </w:r>
      <w:r>
        <w:rPr>
          <w:rFonts w:ascii="Verdana" w:eastAsia="Verdana" w:hAnsi="Verdana" w:cs="Verdana"/>
          <w:color w:val="000000"/>
        </w:rPr>
        <w:t xml:space="preserve"> </w:t>
      </w:r>
      <w:sdt>
        <w:sdtPr>
          <w:tag w:val="goog_rdk_131"/>
          <w:id w:val="-285224309"/>
        </w:sdtPr>
        <w:sdtContent/>
      </w:sdt>
      <w:r w:rsidR="006928CE">
        <w:rPr>
          <w:rFonts w:ascii="Verdana" w:eastAsia="Verdana" w:hAnsi="Verdana" w:cs="Verdana"/>
          <w:b/>
          <w:bCs/>
          <w:color w:val="000000"/>
        </w:rPr>
        <w:t>Unidad</w:t>
      </w:r>
      <w:r>
        <w:rPr>
          <w:rFonts w:ascii="Verdana" w:eastAsia="Verdana" w:hAnsi="Verdana" w:cs="Verdana"/>
          <w:b/>
          <w:bCs/>
          <w:color w:val="000000"/>
        </w:rPr>
        <w:t xml:space="preserve"> técnic</w:t>
      </w:r>
      <w:r w:rsidR="006928CE">
        <w:rPr>
          <w:rFonts w:ascii="Verdana" w:eastAsia="Verdana" w:hAnsi="Verdana" w:cs="Verdana"/>
          <w:b/>
          <w:bCs/>
          <w:color w:val="000000"/>
        </w:rPr>
        <w:t>a</w:t>
      </w:r>
      <w:r w:rsidR="00EE56D7">
        <w:rPr>
          <w:rFonts w:ascii="Verdana" w:eastAsia="Verdana" w:hAnsi="Verdana" w:cs="Verdana"/>
          <w:b/>
          <w:bCs/>
          <w:color w:val="000000"/>
        </w:rPr>
        <w:t xml:space="preserve"> de apoyo</w:t>
      </w:r>
      <w:r w:rsidR="00990796">
        <w:rPr>
          <w:rFonts w:ascii="Verdana" w:eastAsia="Verdana" w:hAnsi="Verdana" w:cs="Verdana"/>
          <w:b/>
          <w:bCs/>
          <w:color w:val="000000"/>
        </w:rPr>
        <w:t xml:space="preserve"> </w:t>
      </w:r>
      <w:r>
        <w:rPr>
          <w:rFonts w:ascii="Verdana" w:eastAsia="Verdana" w:hAnsi="Verdana" w:cs="Verdana"/>
          <w:b/>
          <w:bCs/>
          <w:color w:val="000000"/>
        </w:rPr>
        <w:t>del ROE.</w:t>
      </w:r>
      <w:r>
        <w:rPr>
          <w:rFonts w:ascii="Verdana" w:eastAsia="Verdana" w:hAnsi="Verdana" w:cs="Verdana"/>
          <w:color w:val="000000"/>
        </w:rPr>
        <w:t xml:space="preserve">  </w:t>
      </w:r>
      <w:r w:rsidR="00DA00F5">
        <w:rPr>
          <w:rFonts w:ascii="Verdana" w:eastAsia="Verdana" w:hAnsi="Verdana" w:cs="Verdana"/>
          <w:color w:val="000000"/>
        </w:rPr>
        <w:t>La unidad técnica</w:t>
      </w:r>
      <w:r w:rsidR="00C039F1">
        <w:rPr>
          <w:rFonts w:ascii="Verdana" w:eastAsia="Verdana" w:hAnsi="Verdana" w:cs="Verdana"/>
          <w:color w:val="000000"/>
        </w:rPr>
        <w:t xml:space="preserve"> de </w:t>
      </w:r>
      <w:r w:rsidR="00350C9B">
        <w:rPr>
          <w:rFonts w:ascii="Verdana" w:eastAsia="Verdana" w:hAnsi="Verdana" w:cs="Verdana"/>
          <w:color w:val="000000"/>
        </w:rPr>
        <w:t>apoyo del</w:t>
      </w:r>
      <w:r w:rsidR="00DA00F5">
        <w:rPr>
          <w:rFonts w:ascii="Verdana" w:eastAsia="Verdana" w:hAnsi="Verdana" w:cs="Verdana"/>
          <w:color w:val="000000"/>
        </w:rPr>
        <w:t xml:space="preserve"> ROE se encargará de apoyar al </w:t>
      </w:r>
      <w:r w:rsidR="00FF4F92" w:rsidRPr="00FF4F92">
        <w:rPr>
          <w:rFonts w:ascii="Verdana" w:eastAsia="Verdana" w:hAnsi="Verdana" w:cs="Verdana"/>
          <w:color w:val="000000"/>
        </w:rPr>
        <w:t>Ministerio de Ambiente y Desarrollo Sostenible en la implementación, operación, seguimiento y mejora continua</w:t>
      </w:r>
      <w:r w:rsidR="00C039F1">
        <w:rPr>
          <w:rFonts w:ascii="Verdana" w:eastAsia="Verdana" w:hAnsi="Verdana" w:cs="Verdana"/>
          <w:color w:val="000000"/>
        </w:rPr>
        <w:t xml:space="preserve"> del ROE</w:t>
      </w:r>
      <w:r w:rsidR="00FF4F92">
        <w:rPr>
          <w:rFonts w:ascii="Verdana" w:eastAsia="Verdana" w:hAnsi="Verdana" w:cs="Verdana"/>
          <w:color w:val="000000"/>
        </w:rPr>
        <w:t>.</w:t>
      </w:r>
      <w:r w:rsidR="00FF4F92" w:rsidRPr="002732C1">
        <w:rPr>
          <w:rFonts w:ascii="Verdana" w:eastAsia="Verdana" w:hAnsi="Verdana" w:cs="Verdana"/>
          <w:color w:val="000000"/>
        </w:rPr>
        <w:t xml:space="preserve"> Esta</w:t>
      </w:r>
      <w:r w:rsidR="00DA00F5">
        <w:rPr>
          <w:rFonts w:ascii="Verdana" w:eastAsia="Verdana" w:hAnsi="Verdana" w:cs="Verdana"/>
          <w:color w:val="000000"/>
        </w:rPr>
        <w:t xml:space="preserve"> unidad</w:t>
      </w:r>
      <w:r w:rsidR="00FF4F92" w:rsidRPr="002732C1">
        <w:rPr>
          <w:rFonts w:ascii="Verdana" w:eastAsia="Verdana" w:hAnsi="Verdana" w:cs="Verdana"/>
          <w:color w:val="000000"/>
        </w:rPr>
        <w:t xml:space="preserve"> estará integrada por</w:t>
      </w:r>
      <w:r>
        <w:rPr>
          <w:rFonts w:ascii="Verdana" w:eastAsia="Verdana" w:hAnsi="Verdana" w:cs="Verdana"/>
          <w:color w:val="000000"/>
        </w:rPr>
        <w:t>:</w:t>
      </w:r>
    </w:p>
    <w:p w14:paraId="3445D04E" w14:textId="32EAD879" w:rsidR="000A3508" w:rsidRDefault="000A3508" w:rsidP="00DD218C">
      <w:pPr>
        <w:pBdr>
          <w:top w:val="nil"/>
          <w:left w:val="nil"/>
          <w:bottom w:val="nil"/>
          <w:right w:val="nil"/>
          <w:between w:val="nil"/>
        </w:pBdr>
        <w:spacing w:after="0"/>
        <w:jc w:val="both"/>
        <w:rPr>
          <w:rFonts w:ascii="Verdana" w:eastAsia="Verdana" w:hAnsi="Verdana" w:cs="Verdana"/>
          <w:color w:val="000000"/>
        </w:rPr>
      </w:pPr>
    </w:p>
    <w:p w14:paraId="3445D04F" w14:textId="403215ED" w:rsidR="000A3508" w:rsidRPr="005F48B2" w:rsidRDefault="0070379F">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Un delegado(a) técnico de la Dirección de</w:t>
      </w:r>
      <w:r w:rsidR="00880DC3" w:rsidRPr="005F48B2">
        <w:rPr>
          <w:rFonts w:ascii="Verdana" w:eastAsia="Verdana" w:hAnsi="Verdana" w:cs="Verdana"/>
          <w:color w:val="000000"/>
        </w:rPr>
        <w:t xml:space="preserve"> Cambio Climático y Gestión del Riesgo del Ministerio de Ambiente y Desarrollo Sostenible</w:t>
      </w:r>
      <w:r w:rsidR="00DF7FF5" w:rsidRPr="005F48B2">
        <w:rPr>
          <w:rFonts w:ascii="Verdana" w:eastAsia="Verdana" w:hAnsi="Verdana" w:cs="Verdana"/>
          <w:color w:val="000000"/>
        </w:rPr>
        <w:t xml:space="preserve">, quien </w:t>
      </w:r>
      <w:r w:rsidR="00923616" w:rsidRPr="005F48B2">
        <w:rPr>
          <w:rFonts w:ascii="Verdana" w:eastAsia="Verdana" w:hAnsi="Verdana" w:cs="Verdana"/>
          <w:color w:val="000000"/>
        </w:rPr>
        <w:t xml:space="preserve">la </w:t>
      </w:r>
      <w:r w:rsidR="009F0CC0" w:rsidRPr="005F48B2">
        <w:rPr>
          <w:rFonts w:ascii="Verdana" w:eastAsia="Verdana" w:hAnsi="Verdana" w:cs="Verdana"/>
          <w:color w:val="000000"/>
        </w:rPr>
        <w:t>liderará</w:t>
      </w:r>
      <w:r w:rsidR="00880DC3" w:rsidRPr="005F48B2">
        <w:rPr>
          <w:rFonts w:ascii="Verdana" w:eastAsia="Verdana" w:hAnsi="Verdana" w:cs="Verdana"/>
          <w:color w:val="000000"/>
        </w:rPr>
        <w:t xml:space="preserve">. </w:t>
      </w:r>
    </w:p>
    <w:p w14:paraId="3445D050" w14:textId="773B254E" w:rsidR="000A3508" w:rsidRPr="005F48B2" w:rsidRDefault="0070379F">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 xml:space="preserve">Un delegado(a) técnico de la Dirección de la </w:t>
      </w:r>
      <w:r w:rsidR="00880DC3" w:rsidRPr="005F48B2">
        <w:rPr>
          <w:rFonts w:ascii="Verdana" w:eastAsia="Verdana" w:hAnsi="Verdana" w:cs="Verdana"/>
          <w:color w:val="000000"/>
        </w:rPr>
        <w:t xml:space="preserve">Dirección de Asuntos Ambientales, Sectoriales y Urbanos del Ministerio de Ambiente y Desarrollo Sostenible </w:t>
      </w:r>
    </w:p>
    <w:p w14:paraId="3445D051" w14:textId="7ADB6A71" w:rsidR="000A3508" w:rsidRPr="005F48B2" w:rsidRDefault="0070379F">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 xml:space="preserve">Un delegado(a) técnico de </w:t>
      </w:r>
      <w:r w:rsidR="00880DC3" w:rsidRPr="005F48B2">
        <w:rPr>
          <w:rFonts w:ascii="Verdana" w:eastAsia="Verdana" w:hAnsi="Verdana" w:cs="Verdana"/>
          <w:color w:val="000000"/>
        </w:rPr>
        <w:t xml:space="preserve">la Oficina de Tecnologías de la Información y la Comunicación del Ministerio de Ambiente y Desarrollo Sostenible  </w:t>
      </w:r>
    </w:p>
    <w:p w14:paraId="3445D052" w14:textId="20131212" w:rsidR="000A3508" w:rsidRPr="005F48B2" w:rsidRDefault="0070379F">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 xml:space="preserve">Un delegado(a) técnico de </w:t>
      </w:r>
      <w:r w:rsidR="007F5E70" w:rsidRPr="005F48B2">
        <w:rPr>
          <w:rFonts w:ascii="Verdana" w:eastAsia="Verdana" w:hAnsi="Verdana" w:cs="Verdana"/>
          <w:color w:val="000000"/>
        </w:rPr>
        <w:t xml:space="preserve">la </w:t>
      </w:r>
      <w:r w:rsidR="00880DC3" w:rsidRPr="005F48B2">
        <w:rPr>
          <w:rFonts w:ascii="Verdana" w:eastAsia="Verdana" w:hAnsi="Verdana" w:cs="Verdana"/>
          <w:color w:val="000000"/>
        </w:rPr>
        <w:t>Subdirec</w:t>
      </w:r>
      <w:r w:rsidR="00DA37A8" w:rsidRPr="005F48B2">
        <w:rPr>
          <w:rFonts w:ascii="Verdana" w:eastAsia="Verdana" w:hAnsi="Verdana" w:cs="Verdana"/>
          <w:color w:val="000000"/>
        </w:rPr>
        <w:t>ción</w:t>
      </w:r>
      <w:r w:rsidR="009560CC" w:rsidRPr="005F48B2">
        <w:rPr>
          <w:rFonts w:ascii="Verdana" w:eastAsia="Verdana" w:hAnsi="Verdana" w:cs="Verdana"/>
          <w:color w:val="000000"/>
        </w:rPr>
        <w:t xml:space="preserve"> </w:t>
      </w:r>
      <w:r w:rsidR="00880DC3" w:rsidRPr="005F48B2">
        <w:rPr>
          <w:rFonts w:ascii="Verdana" w:eastAsia="Verdana" w:hAnsi="Verdana" w:cs="Verdana"/>
          <w:color w:val="000000"/>
        </w:rPr>
        <w:t>de Estudios Ambientales del IDEAM.</w:t>
      </w:r>
    </w:p>
    <w:p w14:paraId="074FA5FB" w14:textId="16A8F33D" w:rsidR="007F5E70" w:rsidRPr="005F48B2" w:rsidRDefault="007F5E70">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Un delegado</w:t>
      </w:r>
      <w:r w:rsidR="0070379F" w:rsidRPr="005F48B2">
        <w:rPr>
          <w:rFonts w:ascii="Verdana" w:eastAsia="Verdana" w:hAnsi="Verdana" w:cs="Verdana"/>
          <w:color w:val="000000"/>
        </w:rPr>
        <w:t xml:space="preserve">(a) técnico </w:t>
      </w:r>
      <w:r w:rsidRPr="005F48B2">
        <w:rPr>
          <w:rFonts w:ascii="Verdana" w:eastAsia="Verdana" w:hAnsi="Verdana" w:cs="Verdana"/>
          <w:color w:val="000000"/>
        </w:rPr>
        <w:t>de la Subdirección de E</w:t>
      </w:r>
      <w:r w:rsidR="00191C12" w:rsidRPr="005F48B2">
        <w:rPr>
          <w:rFonts w:ascii="Verdana" w:eastAsia="Verdana" w:hAnsi="Verdana" w:cs="Verdana"/>
          <w:color w:val="000000"/>
        </w:rPr>
        <w:t>cosistemas e</w:t>
      </w:r>
      <w:r w:rsidR="009074F5" w:rsidRPr="005F48B2">
        <w:rPr>
          <w:rFonts w:ascii="Verdana" w:eastAsia="Verdana" w:hAnsi="Verdana" w:cs="Verdana"/>
          <w:color w:val="000000"/>
        </w:rPr>
        <w:t xml:space="preserve"> Información Ambiental del IDEAM.</w:t>
      </w:r>
    </w:p>
    <w:p w14:paraId="3445D053" w14:textId="6A883590" w:rsidR="000A3508" w:rsidRPr="005F48B2" w:rsidRDefault="00727BE6">
      <w:pPr>
        <w:numPr>
          <w:ilvl w:val="0"/>
          <w:numId w:val="3"/>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Un delegado</w:t>
      </w:r>
      <w:r w:rsidR="009357FE" w:rsidRPr="005F48B2">
        <w:rPr>
          <w:rFonts w:ascii="Verdana" w:eastAsia="Verdana" w:hAnsi="Verdana" w:cs="Verdana"/>
          <w:color w:val="000000"/>
        </w:rPr>
        <w:t>(a)</w:t>
      </w:r>
      <w:r w:rsidR="0070379F" w:rsidRPr="005F48B2">
        <w:rPr>
          <w:rFonts w:ascii="Verdana" w:eastAsia="Verdana" w:hAnsi="Verdana" w:cs="Verdana"/>
          <w:color w:val="000000"/>
        </w:rPr>
        <w:t xml:space="preserve"> técnico </w:t>
      </w:r>
      <w:r w:rsidRPr="005F48B2">
        <w:rPr>
          <w:rFonts w:ascii="Verdana" w:eastAsia="Verdana" w:hAnsi="Verdana" w:cs="Verdana"/>
          <w:color w:val="000000"/>
        </w:rPr>
        <w:t xml:space="preserve">de la </w:t>
      </w:r>
      <w:r w:rsidR="00880DC3" w:rsidRPr="005F48B2">
        <w:rPr>
          <w:rFonts w:ascii="Verdana" w:eastAsia="Verdana" w:hAnsi="Verdana" w:cs="Verdana"/>
          <w:color w:val="000000"/>
        </w:rPr>
        <w:t xml:space="preserve">Oficina Informática del IDEAM. </w:t>
      </w:r>
    </w:p>
    <w:p w14:paraId="52680B71" w14:textId="7742C114" w:rsidR="00244AFD" w:rsidRDefault="00244AFD" w:rsidP="00DD218C">
      <w:pPr>
        <w:spacing w:before="240" w:after="240"/>
        <w:jc w:val="both"/>
        <w:rPr>
          <w:rFonts w:ascii="Verdana" w:eastAsia="Verdana" w:hAnsi="Verdana" w:cs="Verdana"/>
          <w:b/>
          <w:bCs/>
          <w:color w:val="000000"/>
        </w:rPr>
      </w:pPr>
      <w:r w:rsidRPr="00923616">
        <w:rPr>
          <w:rFonts w:ascii="Verdana" w:hAnsi="Verdana"/>
          <w:b/>
          <w:bCs/>
          <w:lang w:val="es-ES"/>
        </w:rPr>
        <w:t>Parágrafo.</w:t>
      </w:r>
      <w:r w:rsidRPr="00923616">
        <w:rPr>
          <w:rFonts w:ascii="Verdana" w:hAnsi="Verdana"/>
          <w:lang w:val="es-ES"/>
        </w:rPr>
        <w:t xml:space="preserve"> La </w:t>
      </w:r>
      <w:r w:rsidR="006104DB" w:rsidRPr="00923616">
        <w:rPr>
          <w:rFonts w:ascii="Verdana" w:hAnsi="Verdana"/>
          <w:lang w:val="es-ES"/>
        </w:rPr>
        <w:t xml:space="preserve">Unidad técnica de apoyo </w:t>
      </w:r>
      <w:r w:rsidRPr="00923616">
        <w:rPr>
          <w:rFonts w:ascii="Verdana" w:hAnsi="Verdana"/>
          <w:lang w:val="es-ES"/>
        </w:rPr>
        <w:t>podrá invitar a otras entidades o expertos cuando se requiera para el análisis de temas específicos.</w:t>
      </w:r>
    </w:p>
    <w:p w14:paraId="373824DE" w14:textId="067BBD51" w:rsidR="00E06E16" w:rsidRDefault="00880DC3" w:rsidP="00E06E16">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3</w:t>
      </w:r>
      <w:r w:rsidR="007B39A6">
        <w:rPr>
          <w:rFonts w:ascii="Verdana" w:eastAsia="Verdana" w:hAnsi="Verdana" w:cs="Verdana"/>
          <w:b/>
          <w:bCs/>
          <w:color w:val="000000"/>
        </w:rPr>
        <w:t>2</w:t>
      </w:r>
      <w:r>
        <w:rPr>
          <w:rFonts w:ascii="Verdana" w:eastAsia="Verdana" w:hAnsi="Verdana" w:cs="Verdana"/>
          <w:b/>
          <w:bCs/>
          <w:color w:val="000000"/>
        </w:rPr>
        <w:t>.</w:t>
      </w:r>
      <w:r>
        <w:rPr>
          <w:rFonts w:ascii="Verdana" w:eastAsia="Verdana" w:hAnsi="Verdana" w:cs="Verdana"/>
          <w:color w:val="000000"/>
        </w:rPr>
        <w:t xml:space="preserve"> </w:t>
      </w:r>
      <w:r>
        <w:rPr>
          <w:rFonts w:ascii="Verdana" w:eastAsia="Verdana" w:hAnsi="Verdana" w:cs="Verdana"/>
          <w:b/>
          <w:bCs/>
          <w:color w:val="000000"/>
        </w:rPr>
        <w:t>Atribuciones de</w:t>
      </w:r>
      <w:r w:rsidR="00E06E16">
        <w:rPr>
          <w:rFonts w:ascii="Verdana" w:eastAsia="Verdana" w:hAnsi="Verdana" w:cs="Verdana"/>
          <w:b/>
          <w:bCs/>
          <w:color w:val="000000"/>
        </w:rPr>
        <w:t xml:space="preserve"> la Unidad técnica de apoyo</w:t>
      </w:r>
      <w:r>
        <w:rPr>
          <w:rFonts w:ascii="Verdana" w:eastAsia="Verdana" w:hAnsi="Verdana" w:cs="Verdana"/>
          <w:b/>
          <w:bCs/>
          <w:color w:val="000000"/>
        </w:rPr>
        <w:t xml:space="preserve"> del ROE.</w:t>
      </w:r>
      <w:r>
        <w:rPr>
          <w:rFonts w:ascii="Verdana" w:eastAsia="Verdana" w:hAnsi="Verdana" w:cs="Verdana"/>
          <w:color w:val="000000"/>
        </w:rPr>
        <w:t xml:space="preserve">   </w:t>
      </w:r>
      <w:r w:rsidR="00BD0453">
        <w:rPr>
          <w:rFonts w:ascii="Verdana" w:eastAsia="Verdana" w:hAnsi="Verdana" w:cs="Verdana"/>
          <w:color w:val="000000"/>
        </w:rPr>
        <w:t xml:space="preserve">La Unidad técnica de apoyo tendrá las siguientes atribuciones:  </w:t>
      </w:r>
    </w:p>
    <w:p w14:paraId="5BB1E01B" w14:textId="77777777" w:rsidR="00E06E16" w:rsidRPr="00005C9F" w:rsidRDefault="00E06E16" w:rsidP="00E06E16">
      <w:pPr>
        <w:pBdr>
          <w:top w:val="nil"/>
          <w:left w:val="nil"/>
          <w:bottom w:val="nil"/>
          <w:right w:val="nil"/>
          <w:between w:val="nil"/>
        </w:pBdr>
        <w:spacing w:after="0"/>
        <w:jc w:val="both"/>
        <w:rPr>
          <w:rFonts w:ascii="Verdana" w:eastAsia="Verdana" w:hAnsi="Verdana" w:cs="Verdana"/>
          <w:color w:val="000000"/>
        </w:rPr>
      </w:pPr>
    </w:p>
    <w:p w14:paraId="7BD4D0AB" w14:textId="59DB963B" w:rsidR="00E06E16" w:rsidRPr="00005C9F" w:rsidRDefault="00E06E16" w:rsidP="00E06E16">
      <w:pPr>
        <w:pStyle w:val="Prrafodelista"/>
        <w:numPr>
          <w:ilvl w:val="0"/>
          <w:numId w:val="20"/>
        </w:numPr>
        <w:spacing w:line="279" w:lineRule="auto"/>
        <w:contextualSpacing/>
        <w:jc w:val="both"/>
        <w:rPr>
          <w:rFonts w:ascii="Verdana" w:hAnsi="Verdana" w:cs="Calibri"/>
        </w:rPr>
      </w:pPr>
      <w:r w:rsidRPr="00005C9F">
        <w:rPr>
          <w:rFonts w:ascii="Verdana" w:hAnsi="Verdana" w:cs="Calibri"/>
          <w:lang w:val="es-ES"/>
        </w:rPr>
        <w:t xml:space="preserve">Revisar técnicamente los instrumentos operativos del ROE propuestos por el Ministerio de Ambiente y Desarrollo Sostenible, incluyendo </w:t>
      </w:r>
      <w:r w:rsidR="00220A9A">
        <w:rPr>
          <w:rFonts w:ascii="Verdana" w:hAnsi="Verdana" w:cs="Calibri"/>
          <w:lang w:val="es-ES"/>
        </w:rPr>
        <w:t>la Gu</w:t>
      </w:r>
      <w:r w:rsidR="005C282A">
        <w:rPr>
          <w:rFonts w:ascii="Verdana" w:hAnsi="Verdana" w:cs="Calibri"/>
          <w:lang w:val="es-ES"/>
        </w:rPr>
        <w:t>í</w:t>
      </w:r>
      <w:r w:rsidR="00220A9A">
        <w:rPr>
          <w:rFonts w:ascii="Verdana" w:hAnsi="Verdana" w:cs="Calibri"/>
          <w:lang w:val="es-ES"/>
        </w:rPr>
        <w:t>a T</w:t>
      </w:r>
      <w:r w:rsidR="001733F2">
        <w:rPr>
          <w:rFonts w:ascii="Verdana" w:hAnsi="Verdana" w:cs="Calibri"/>
          <w:lang w:val="es-ES"/>
        </w:rPr>
        <w:t xml:space="preserve">écnica de la Plataforma ROE, el Protocolo ROE, </w:t>
      </w:r>
      <w:r w:rsidR="00BE02A3">
        <w:rPr>
          <w:rFonts w:ascii="Verdana" w:hAnsi="Verdana" w:cs="Calibri"/>
          <w:lang w:val="es-ES"/>
        </w:rPr>
        <w:t>entre otros, formulando</w:t>
      </w:r>
      <w:r w:rsidRPr="00005C9F">
        <w:rPr>
          <w:rFonts w:ascii="Verdana" w:hAnsi="Verdana" w:cs="Calibri"/>
          <w:lang w:val="es-ES"/>
        </w:rPr>
        <w:t xml:space="preserve"> recomendaciones para su mejora.</w:t>
      </w:r>
    </w:p>
    <w:p w14:paraId="2E5617AC" w14:textId="6FA9CFDB" w:rsidR="00E06E16" w:rsidRPr="00DD218C" w:rsidRDefault="00E06E16" w:rsidP="00E06E16">
      <w:pPr>
        <w:pStyle w:val="Prrafodelista"/>
        <w:numPr>
          <w:ilvl w:val="0"/>
          <w:numId w:val="20"/>
        </w:numPr>
        <w:spacing w:line="279" w:lineRule="auto"/>
        <w:contextualSpacing/>
        <w:jc w:val="both"/>
        <w:rPr>
          <w:rFonts w:ascii="Verdana" w:hAnsi="Verdana" w:cs="Calibri"/>
        </w:rPr>
      </w:pPr>
      <w:r w:rsidRPr="00005C9F">
        <w:rPr>
          <w:rFonts w:ascii="Verdana" w:hAnsi="Verdana" w:cs="Calibri"/>
          <w:lang w:val="es-ES"/>
        </w:rPr>
        <w:t>Analizar la información generada por el ROE</w:t>
      </w:r>
      <w:r w:rsidR="00DB6754">
        <w:rPr>
          <w:rFonts w:ascii="Verdana" w:hAnsi="Verdana" w:cs="Calibri"/>
          <w:lang w:val="es-ES"/>
        </w:rPr>
        <w:t>,</w:t>
      </w:r>
      <w:r w:rsidRPr="00005C9F">
        <w:rPr>
          <w:rFonts w:ascii="Verdana" w:hAnsi="Verdana" w:cs="Calibri"/>
          <w:lang w:val="es-ES"/>
        </w:rPr>
        <w:t xml:space="preserve"> con el fin de identificar oportunidades de mejora operativa.</w:t>
      </w:r>
    </w:p>
    <w:p w14:paraId="44B02F86" w14:textId="541A8465" w:rsidR="00C609FF" w:rsidRPr="00005C9F" w:rsidRDefault="00C609FF" w:rsidP="00E06E16">
      <w:pPr>
        <w:pStyle w:val="Prrafodelista"/>
        <w:numPr>
          <w:ilvl w:val="0"/>
          <w:numId w:val="20"/>
        </w:numPr>
        <w:spacing w:line="279" w:lineRule="auto"/>
        <w:contextualSpacing/>
        <w:jc w:val="both"/>
        <w:rPr>
          <w:rFonts w:ascii="Verdana" w:hAnsi="Verdana" w:cs="Calibri"/>
        </w:rPr>
      </w:pPr>
      <w:r>
        <w:rPr>
          <w:rFonts w:ascii="Verdana" w:hAnsi="Verdana" w:cs="Calibri"/>
          <w:lang w:val="es-ES"/>
        </w:rPr>
        <w:t>Realizar recomendaciones para la revisión y actualización de los criterios para la determinación de las personas jurídicas obligadas a reportar, a que se refiere el artículo 1</w:t>
      </w:r>
      <w:r w:rsidR="0070379F">
        <w:rPr>
          <w:rFonts w:ascii="Verdana" w:hAnsi="Verdana" w:cs="Calibri"/>
          <w:lang w:val="es-ES"/>
        </w:rPr>
        <w:t>1</w:t>
      </w:r>
      <w:r>
        <w:rPr>
          <w:rFonts w:ascii="Verdana" w:hAnsi="Verdana" w:cs="Calibri"/>
          <w:lang w:val="es-ES"/>
        </w:rPr>
        <w:t xml:space="preserve"> de la presenta </w:t>
      </w:r>
      <w:r w:rsidR="004F7F5E">
        <w:rPr>
          <w:rFonts w:ascii="Verdana" w:hAnsi="Verdana" w:cs="Calibri"/>
          <w:lang w:val="es-ES"/>
        </w:rPr>
        <w:t>resolución.</w:t>
      </w:r>
    </w:p>
    <w:p w14:paraId="37D6FC86" w14:textId="77777777" w:rsidR="00E06E16" w:rsidRPr="00005C9F" w:rsidRDefault="00E06E16" w:rsidP="00E06E16">
      <w:pPr>
        <w:pStyle w:val="Prrafodelista"/>
        <w:numPr>
          <w:ilvl w:val="0"/>
          <w:numId w:val="20"/>
        </w:numPr>
        <w:spacing w:line="279" w:lineRule="auto"/>
        <w:contextualSpacing/>
        <w:jc w:val="both"/>
        <w:rPr>
          <w:rFonts w:ascii="Verdana" w:hAnsi="Verdana" w:cs="Calibri"/>
        </w:rPr>
      </w:pPr>
      <w:r w:rsidRPr="00005C9F">
        <w:rPr>
          <w:rFonts w:ascii="Verdana" w:hAnsi="Verdana" w:cs="Calibri"/>
          <w:lang w:val="es-ES"/>
        </w:rPr>
        <w:t>Proponer y emitir recomendaciones técnicas para el fortalecimiento del ROE, orientadas a mejorar la calidad, consistencia y trazabilidad de la información reportada.</w:t>
      </w:r>
    </w:p>
    <w:p w14:paraId="4DA26EC1" w14:textId="1DB8E1E7" w:rsidR="00E06E16" w:rsidRPr="00005C9F" w:rsidRDefault="00E06E16" w:rsidP="00E06E16">
      <w:pPr>
        <w:pStyle w:val="Prrafodelista"/>
        <w:numPr>
          <w:ilvl w:val="0"/>
          <w:numId w:val="20"/>
        </w:numPr>
        <w:spacing w:line="279" w:lineRule="auto"/>
        <w:contextualSpacing/>
        <w:jc w:val="both"/>
        <w:rPr>
          <w:rFonts w:ascii="Verdana" w:hAnsi="Verdana" w:cs="Calibri"/>
        </w:rPr>
      </w:pPr>
      <w:r w:rsidRPr="00005C9F">
        <w:rPr>
          <w:rFonts w:ascii="Verdana" w:hAnsi="Verdana" w:cs="Calibri"/>
          <w:lang w:val="es-ES"/>
        </w:rPr>
        <w:lastRenderedPageBreak/>
        <w:t>Identificar y recomendar mejoras en la operación de la plataforma del ROE, incluyendo aspectos relacionados con usabilidad, captura de información, validaci</w:t>
      </w:r>
      <w:r w:rsidR="00DB6754">
        <w:rPr>
          <w:rFonts w:ascii="Verdana" w:hAnsi="Verdana" w:cs="Calibri"/>
          <w:lang w:val="es-ES"/>
        </w:rPr>
        <w:t>ón</w:t>
      </w:r>
      <w:r w:rsidRPr="00005C9F">
        <w:rPr>
          <w:rFonts w:ascii="Verdana" w:hAnsi="Verdana" w:cs="Calibri"/>
          <w:lang w:val="es-ES"/>
        </w:rPr>
        <w:t xml:space="preserve"> y soporte al usuario.</w:t>
      </w:r>
      <w:r w:rsidRPr="00005C9F">
        <w:rPr>
          <w:rFonts w:ascii="Verdana" w:hAnsi="Verdana" w:cs="Calibri"/>
          <w:sz w:val="24"/>
          <w:szCs w:val="24"/>
          <w:lang w:val="es-ES"/>
        </w:rPr>
        <w:t xml:space="preserve"> </w:t>
      </w:r>
    </w:p>
    <w:p w14:paraId="1FE6FF78" w14:textId="2C39615F" w:rsidR="00E06E16" w:rsidRPr="00005C9F" w:rsidRDefault="00E06E16" w:rsidP="00E06E16">
      <w:pPr>
        <w:pStyle w:val="Prrafodelista"/>
        <w:numPr>
          <w:ilvl w:val="0"/>
          <w:numId w:val="20"/>
        </w:numPr>
        <w:spacing w:line="279" w:lineRule="auto"/>
        <w:contextualSpacing/>
        <w:jc w:val="both"/>
        <w:rPr>
          <w:rFonts w:ascii="Verdana" w:hAnsi="Verdana" w:cs="Calibri"/>
        </w:rPr>
      </w:pPr>
      <w:r w:rsidRPr="00005C9F">
        <w:rPr>
          <w:rFonts w:ascii="Verdana" w:hAnsi="Verdana" w:cs="Calibri"/>
          <w:lang w:val="es-ES"/>
        </w:rPr>
        <w:t>Identificar y recomendar oportunidades técnicas de interoperabilidad del ROE con otros sistemas, instrumentos y herramientas de información ambiental y climática</w:t>
      </w:r>
      <w:r w:rsidR="00005C9F" w:rsidRPr="00005C9F">
        <w:rPr>
          <w:rFonts w:ascii="Verdana" w:hAnsi="Verdana" w:cs="Calibri"/>
          <w:lang w:val="es-ES"/>
        </w:rPr>
        <w:t>.</w:t>
      </w:r>
    </w:p>
    <w:p w14:paraId="7BE3585C" w14:textId="2A60BA4C" w:rsidR="00E06E16" w:rsidRPr="005F48B2" w:rsidRDefault="00E62AAE" w:rsidP="00E06E16">
      <w:pPr>
        <w:pStyle w:val="Prrafodelista"/>
        <w:numPr>
          <w:ilvl w:val="0"/>
          <w:numId w:val="20"/>
        </w:numPr>
        <w:spacing w:line="279" w:lineRule="auto"/>
        <w:contextualSpacing/>
        <w:jc w:val="both"/>
        <w:rPr>
          <w:rFonts w:ascii="Verdana" w:hAnsi="Verdana" w:cs="Calibri"/>
        </w:rPr>
      </w:pPr>
      <w:r>
        <w:rPr>
          <w:rFonts w:ascii="Verdana" w:hAnsi="Verdana" w:cs="Calibri"/>
        </w:rPr>
        <w:t>Promover la articulación</w:t>
      </w:r>
      <w:r w:rsidR="008E2A05">
        <w:rPr>
          <w:rFonts w:ascii="Verdana" w:hAnsi="Verdana" w:cs="Calibri"/>
        </w:rPr>
        <w:t xml:space="preserve"> de</w:t>
      </w:r>
      <w:r w:rsidR="009A2128">
        <w:rPr>
          <w:rFonts w:ascii="Verdana" w:hAnsi="Verdana" w:cs="Calibri"/>
        </w:rPr>
        <w:t xml:space="preserve"> </w:t>
      </w:r>
      <w:r w:rsidR="00D41E99">
        <w:rPr>
          <w:rFonts w:ascii="Verdana" w:hAnsi="Verdana" w:cs="Calibri"/>
        </w:rPr>
        <w:t xml:space="preserve">estrategias de </w:t>
      </w:r>
      <w:r w:rsidR="008256D9">
        <w:rPr>
          <w:rFonts w:ascii="Verdana" w:hAnsi="Verdana" w:cs="Calibri"/>
        </w:rPr>
        <w:t>divulgación</w:t>
      </w:r>
      <w:r w:rsidR="000401E2">
        <w:rPr>
          <w:rFonts w:ascii="Verdana" w:hAnsi="Verdana" w:cs="Calibri"/>
        </w:rPr>
        <w:t xml:space="preserve">, </w:t>
      </w:r>
      <w:r w:rsidR="00E06E16" w:rsidRPr="00005C9F">
        <w:rPr>
          <w:rFonts w:ascii="Verdana" w:hAnsi="Verdana" w:cs="Calibri"/>
          <w:lang w:val="es-ES"/>
        </w:rPr>
        <w:t>socialización</w:t>
      </w:r>
      <w:r w:rsidR="009A2128">
        <w:rPr>
          <w:rFonts w:ascii="Verdana" w:hAnsi="Verdana" w:cs="Calibri"/>
          <w:lang w:val="es-ES"/>
        </w:rPr>
        <w:t xml:space="preserve"> y </w:t>
      </w:r>
      <w:r w:rsidR="00695C54" w:rsidRPr="005F48B2">
        <w:rPr>
          <w:rFonts w:ascii="Verdana" w:hAnsi="Verdana" w:cs="Calibri"/>
          <w:lang w:val="es-ES"/>
        </w:rPr>
        <w:t xml:space="preserve">sensibilización relacionadas con el </w:t>
      </w:r>
      <w:r w:rsidR="00E06E16" w:rsidRPr="005F48B2">
        <w:rPr>
          <w:rFonts w:ascii="Verdana" w:hAnsi="Verdana" w:cs="Calibri"/>
          <w:lang w:val="es-ES"/>
        </w:rPr>
        <w:t>ROE.</w:t>
      </w:r>
    </w:p>
    <w:p w14:paraId="09D786A0" w14:textId="197F256E" w:rsidR="00BA7463" w:rsidRDefault="00BA7463" w:rsidP="00E9097F">
      <w:pPr>
        <w:numPr>
          <w:ilvl w:val="0"/>
          <w:numId w:val="20"/>
        </w:numPr>
        <w:pBdr>
          <w:top w:val="nil"/>
          <w:left w:val="nil"/>
          <w:bottom w:val="nil"/>
          <w:right w:val="nil"/>
          <w:between w:val="nil"/>
        </w:pBdr>
        <w:spacing w:after="0"/>
        <w:jc w:val="both"/>
        <w:rPr>
          <w:rFonts w:ascii="Verdana" w:eastAsia="Verdana" w:hAnsi="Verdana" w:cs="Verdana"/>
          <w:color w:val="000000"/>
        </w:rPr>
      </w:pPr>
      <w:r w:rsidRPr="00005C9F">
        <w:rPr>
          <w:rFonts w:ascii="Verdana" w:eastAsia="Verdana" w:hAnsi="Verdana" w:cs="Verdana"/>
          <w:color w:val="000000"/>
        </w:rPr>
        <w:t>D</w:t>
      </w:r>
      <w:r w:rsidR="00AF4A93" w:rsidRPr="00005C9F">
        <w:rPr>
          <w:rFonts w:ascii="Verdana" w:eastAsia="Verdana" w:hAnsi="Verdana" w:cs="Verdana"/>
          <w:color w:val="000000"/>
        </w:rPr>
        <w:t>efinir la periodicidad de las reuniones y</w:t>
      </w:r>
      <w:r w:rsidR="00832F97">
        <w:rPr>
          <w:rFonts w:ascii="Verdana" w:eastAsia="Verdana" w:hAnsi="Verdana" w:cs="Verdana"/>
          <w:color w:val="000000"/>
        </w:rPr>
        <w:t xml:space="preserve"> la</w:t>
      </w:r>
      <w:r w:rsidR="00AF4A93" w:rsidRPr="00005C9F">
        <w:rPr>
          <w:rFonts w:ascii="Verdana" w:eastAsia="Verdana" w:hAnsi="Verdana" w:cs="Verdana"/>
          <w:color w:val="000000"/>
        </w:rPr>
        <w:t xml:space="preserve"> forma </w:t>
      </w:r>
      <w:r w:rsidR="005C282A">
        <w:rPr>
          <w:rFonts w:ascii="Verdana" w:eastAsia="Verdana" w:hAnsi="Verdana" w:cs="Verdana"/>
          <w:color w:val="000000"/>
        </w:rPr>
        <w:t xml:space="preserve">en que se </w:t>
      </w:r>
      <w:r w:rsidR="00832F97">
        <w:rPr>
          <w:rFonts w:ascii="Verdana" w:eastAsia="Verdana" w:hAnsi="Verdana" w:cs="Verdana"/>
          <w:color w:val="000000"/>
        </w:rPr>
        <w:t>documentarán y comunicarán los acuerdos a los que se llegue en el marco del desarrollo de sus atribuciones</w:t>
      </w:r>
      <w:r w:rsidR="007A0A79">
        <w:rPr>
          <w:rFonts w:ascii="Verdana" w:eastAsia="Verdana" w:hAnsi="Verdana" w:cs="Verdana"/>
          <w:color w:val="000000"/>
        </w:rPr>
        <w:t>.</w:t>
      </w:r>
    </w:p>
    <w:p w14:paraId="5FB7BCFF" w14:textId="77777777" w:rsidR="00B86FE8" w:rsidRPr="005F48B2" w:rsidRDefault="00B86FE8" w:rsidP="00B86FE8">
      <w:pPr>
        <w:numPr>
          <w:ilvl w:val="0"/>
          <w:numId w:val="20"/>
        </w:numPr>
        <w:pBdr>
          <w:top w:val="nil"/>
          <w:left w:val="nil"/>
          <w:bottom w:val="nil"/>
          <w:right w:val="nil"/>
          <w:between w:val="nil"/>
        </w:pBdr>
        <w:spacing w:after="0"/>
        <w:jc w:val="both"/>
        <w:rPr>
          <w:rFonts w:ascii="Verdana" w:eastAsia="Verdana" w:hAnsi="Verdana" w:cs="Verdana"/>
          <w:color w:val="000000"/>
        </w:rPr>
      </w:pPr>
      <w:r w:rsidRPr="005F48B2">
        <w:rPr>
          <w:rFonts w:ascii="Verdana" w:eastAsia="Verdana" w:hAnsi="Verdana" w:cs="Verdana"/>
          <w:color w:val="000000"/>
        </w:rPr>
        <w:t>Darse su propio reglamento de funcionamiento y operación.</w:t>
      </w:r>
    </w:p>
    <w:p w14:paraId="44AEB658" w14:textId="77777777" w:rsidR="00B86FE8" w:rsidRPr="007A0A79" w:rsidRDefault="00B86FE8" w:rsidP="00B86FE8">
      <w:pPr>
        <w:pBdr>
          <w:top w:val="nil"/>
          <w:left w:val="nil"/>
          <w:bottom w:val="nil"/>
          <w:right w:val="nil"/>
          <w:between w:val="nil"/>
        </w:pBdr>
        <w:spacing w:after="0"/>
        <w:jc w:val="both"/>
        <w:rPr>
          <w:rFonts w:ascii="Verdana" w:eastAsia="Verdana" w:hAnsi="Verdana" w:cs="Verdana"/>
          <w:color w:val="000000"/>
        </w:rPr>
      </w:pPr>
    </w:p>
    <w:p w14:paraId="3445D05E" w14:textId="77777777" w:rsidR="000A3508" w:rsidRDefault="000A3508">
      <w:pPr>
        <w:pBdr>
          <w:top w:val="nil"/>
          <w:left w:val="nil"/>
          <w:bottom w:val="nil"/>
          <w:right w:val="nil"/>
          <w:between w:val="nil"/>
        </w:pBdr>
        <w:spacing w:after="0"/>
        <w:ind w:left="720"/>
        <w:jc w:val="both"/>
        <w:rPr>
          <w:rFonts w:ascii="Verdana" w:eastAsia="Verdana" w:hAnsi="Verdana" w:cs="Verdana"/>
          <w:color w:val="000000"/>
        </w:rPr>
      </w:pPr>
    </w:p>
    <w:p w14:paraId="3445D05F" w14:textId="77777777" w:rsidR="000A3508" w:rsidRDefault="00880DC3">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b/>
          <w:bCs/>
          <w:color w:val="000000"/>
        </w:rPr>
        <w:t>Artículo 35.</w:t>
      </w:r>
      <w:r>
        <w:rPr>
          <w:rFonts w:ascii="Verdana" w:eastAsia="Verdana" w:hAnsi="Verdana" w:cs="Verdana"/>
          <w:color w:val="000000"/>
        </w:rPr>
        <w:t xml:space="preserve"> </w:t>
      </w:r>
      <w:r>
        <w:rPr>
          <w:rFonts w:ascii="Verdana" w:eastAsia="Verdana" w:hAnsi="Verdana" w:cs="Verdana"/>
          <w:b/>
          <w:bCs/>
          <w:color w:val="000000"/>
        </w:rPr>
        <w:t>Coordinación del ROE</w:t>
      </w:r>
      <w:r>
        <w:rPr>
          <w:rFonts w:ascii="Verdana" w:eastAsia="Verdana" w:hAnsi="Verdana" w:cs="Verdana"/>
          <w:color w:val="000000"/>
        </w:rPr>
        <w:t>. La coordinación del ROE estará a cargo del Ministerio de Ambiente y Desarrollo Sostenible, para lo cual deberá realizar las siguientes actividades:</w:t>
      </w:r>
    </w:p>
    <w:p w14:paraId="3445D060" w14:textId="77777777" w:rsidR="000A3508" w:rsidRDefault="000A3508">
      <w:pPr>
        <w:pBdr>
          <w:top w:val="nil"/>
          <w:left w:val="nil"/>
          <w:bottom w:val="nil"/>
          <w:right w:val="nil"/>
          <w:between w:val="nil"/>
        </w:pBdr>
        <w:spacing w:after="0"/>
        <w:jc w:val="both"/>
        <w:rPr>
          <w:rFonts w:ascii="Verdana" w:eastAsia="Verdana" w:hAnsi="Verdana" w:cs="Verdana"/>
          <w:color w:val="000000"/>
        </w:rPr>
      </w:pPr>
    </w:p>
    <w:p w14:paraId="01C46750" w14:textId="77777777"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 xml:space="preserve">Administrar, mantener y operar la Plataforma del ROE, garantizando su disponibilidad, seguridad y correcto funcionamiento. </w:t>
      </w:r>
    </w:p>
    <w:p w14:paraId="66BC11CC" w14:textId="77777777"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Diseñar, adoptar, actualizar y publicar los reglamentos operativos, manuales y demás instrumentos necesarios para la implementación y funcionamiento del ROE</w:t>
      </w:r>
      <w:r w:rsidRPr="00BD6DAF">
        <w:rPr>
          <w:rFonts w:ascii="Verdana" w:hAnsi="Verdana" w:cs="Calibri"/>
        </w:rPr>
        <w:t>.</w:t>
      </w:r>
    </w:p>
    <w:p w14:paraId="58039F9E" w14:textId="77777777"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rPr>
        <w:t xml:space="preserve">Actualizar el Protocolo ROE y la Guía Técnica de la Plataforma ROE con base en las recomendaciones de la Unidad Técnica de Apoyo del ROE, garantizando la participación y transparencia previo a su publicación definitiva en la página web del Ministerio. </w:t>
      </w:r>
    </w:p>
    <w:p w14:paraId="1E0F5F72" w14:textId="32D14740"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Desarrollar, implementar y adoptar los ajustes técnicos, metodológicos, operativos y tecnológicos necesarios para el fortalecimiento y mejora continua del ROE y de su plataform</w:t>
      </w:r>
      <w:r w:rsidRPr="00BD6DAF">
        <w:rPr>
          <w:rFonts w:ascii="Verdana" w:hAnsi="Verdana" w:cs="Calibri"/>
          <w:lang w:val="es-ES" w:eastAsia="en-US"/>
        </w:rPr>
        <w:t>a, considerando los insumos técnicos de</w:t>
      </w:r>
      <w:r w:rsidRPr="00BD6DAF">
        <w:rPr>
          <w:rFonts w:ascii="Verdana" w:hAnsi="Verdana" w:cs="Calibri"/>
        </w:rPr>
        <w:t xml:space="preserve"> la Unidad </w:t>
      </w:r>
      <w:r w:rsidR="00BD6DAF">
        <w:rPr>
          <w:rFonts w:ascii="Verdana" w:hAnsi="Verdana" w:cs="Calibri"/>
        </w:rPr>
        <w:t xml:space="preserve">Técnica </w:t>
      </w:r>
      <w:r w:rsidRPr="00BD6DAF">
        <w:rPr>
          <w:rFonts w:ascii="Verdana" w:hAnsi="Verdana" w:cs="Calibri"/>
        </w:rPr>
        <w:t xml:space="preserve">de Apoyo </w:t>
      </w:r>
      <w:r w:rsidRPr="00BD6DAF">
        <w:rPr>
          <w:rFonts w:ascii="Verdana" w:hAnsi="Verdana" w:cs="Calibri"/>
          <w:lang w:val="es-ES" w:eastAsia="en-US"/>
        </w:rPr>
        <w:t>del ROE</w:t>
      </w:r>
      <w:r w:rsidRPr="00BD6DAF">
        <w:rPr>
          <w:rFonts w:ascii="Verdana" w:hAnsi="Verdana" w:cs="Calibri"/>
        </w:rPr>
        <w:t xml:space="preserve"> y del Comité Técnico del SNICC</w:t>
      </w:r>
      <w:r w:rsidRPr="00BD6DAF">
        <w:rPr>
          <w:rFonts w:ascii="Verdana" w:hAnsi="Verdana" w:cs="Calibri"/>
          <w:lang w:val="es-ES" w:eastAsia="en-US"/>
        </w:rPr>
        <w:t xml:space="preserve">.  </w:t>
      </w:r>
    </w:p>
    <w:p w14:paraId="33BA2947" w14:textId="3DCBB03F" w:rsidR="00507970" w:rsidRPr="00DD218C" w:rsidRDefault="00507970" w:rsidP="001761E4">
      <w:pPr>
        <w:pStyle w:val="Prrafodelista"/>
        <w:numPr>
          <w:ilvl w:val="0"/>
          <w:numId w:val="21"/>
        </w:numPr>
        <w:spacing w:line="279" w:lineRule="auto"/>
        <w:contextualSpacing/>
        <w:jc w:val="both"/>
        <w:rPr>
          <w:rFonts w:ascii="Verdana" w:hAnsi="Verdana" w:cs="Calibri"/>
        </w:rPr>
      </w:pPr>
      <w:r>
        <w:rPr>
          <w:rFonts w:ascii="Verdana" w:hAnsi="Verdana" w:cs="Calibri"/>
        </w:rPr>
        <w:t xml:space="preserve">Realizar la </w:t>
      </w:r>
      <w:r w:rsidR="00155038">
        <w:rPr>
          <w:rFonts w:ascii="Verdana" w:hAnsi="Verdana" w:cs="Calibri"/>
        </w:rPr>
        <w:t xml:space="preserve">revisión </w:t>
      </w:r>
      <w:r w:rsidR="00155038">
        <w:rPr>
          <w:rFonts w:ascii="Verdana" w:hAnsi="Verdana" w:cs="Calibri"/>
          <w:lang w:val="es-ES"/>
        </w:rPr>
        <w:t>y</w:t>
      </w:r>
      <w:r>
        <w:rPr>
          <w:rFonts w:ascii="Verdana" w:hAnsi="Verdana" w:cs="Calibri"/>
          <w:lang w:val="es-ES"/>
        </w:rPr>
        <w:t xml:space="preserve"> actualización de los criterios para la determinación de las personas jurídicas obligadas a reportar, a que se refiere el artículo 1</w:t>
      </w:r>
      <w:r w:rsidR="00282263">
        <w:rPr>
          <w:rFonts w:ascii="Verdana" w:hAnsi="Verdana" w:cs="Calibri"/>
          <w:lang w:val="es-ES"/>
        </w:rPr>
        <w:t>1</w:t>
      </w:r>
      <w:r>
        <w:rPr>
          <w:rFonts w:ascii="Verdana" w:hAnsi="Verdana" w:cs="Calibri"/>
          <w:lang w:val="es-ES"/>
        </w:rPr>
        <w:t xml:space="preserve"> de la presenta resolución</w:t>
      </w:r>
      <w:r w:rsidR="00B75B42">
        <w:rPr>
          <w:rFonts w:ascii="Verdana" w:hAnsi="Verdana" w:cs="Calibri"/>
          <w:lang w:val="es-ES"/>
        </w:rPr>
        <w:t xml:space="preserve">, </w:t>
      </w:r>
      <w:r w:rsidR="00B75B42" w:rsidRPr="00B75B42">
        <w:rPr>
          <w:rFonts w:ascii="Verdana" w:hAnsi="Verdana" w:cs="Calibri"/>
          <w:lang w:val="es-ES"/>
        </w:rPr>
        <w:t>con base en criterios técnicos, la información disponible en la Plataforma ROE, el Inventario Nacional de GEI y su coherencia con otros instrumentos de política climática, así como con las recomendaciones de la Unidad Técnica de Apoyo del ROE</w:t>
      </w:r>
      <w:r w:rsidR="00155038">
        <w:rPr>
          <w:rFonts w:ascii="Verdana" w:hAnsi="Verdana" w:cs="Calibri"/>
          <w:lang w:val="es-ES"/>
        </w:rPr>
        <w:t xml:space="preserve"> y adoptar las actualizaciones mediante acto administrativo.</w:t>
      </w:r>
    </w:p>
    <w:p w14:paraId="4ECD533B" w14:textId="197189A4"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Gestionar, revisar y consolidar la información reportada en el marco del ROE.</w:t>
      </w:r>
    </w:p>
    <w:p w14:paraId="35FEEED4" w14:textId="77777777"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Analizar la información consolidada del ROE para su uso en la toma de decisiones y en la implementación de instrumentos de política pública.</w:t>
      </w:r>
    </w:p>
    <w:p w14:paraId="101D002D" w14:textId="267F2E27" w:rsidR="001761E4" w:rsidRPr="00BD6DAF" w:rsidRDefault="007C6D69" w:rsidP="001761E4">
      <w:pPr>
        <w:pStyle w:val="Prrafodelista"/>
        <w:numPr>
          <w:ilvl w:val="0"/>
          <w:numId w:val="21"/>
        </w:numPr>
        <w:spacing w:line="279" w:lineRule="auto"/>
        <w:contextualSpacing/>
        <w:jc w:val="both"/>
        <w:rPr>
          <w:rFonts w:ascii="Verdana" w:hAnsi="Verdana" w:cs="Calibri"/>
        </w:rPr>
      </w:pPr>
      <w:r>
        <w:rPr>
          <w:rFonts w:ascii="Verdana" w:hAnsi="Verdana" w:cs="Calibri"/>
          <w:lang w:val="es-ES"/>
        </w:rPr>
        <w:t xml:space="preserve">Elaborar y </w:t>
      </w:r>
      <w:r w:rsidR="00C33ACB">
        <w:rPr>
          <w:rFonts w:ascii="Verdana" w:hAnsi="Verdana" w:cs="Calibri"/>
          <w:lang w:val="es-ES"/>
        </w:rPr>
        <w:t>p</w:t>
      </w:r>
      <w:r w:rsidR="001761E4" w:rsidRPr="00BD6DAF">
        <w:rPr>
          <w:rFonts w:ascii="Verdana" w:hAnsi="Verdana" w:cs="Calibri"/>
          <w:lang w:val="es-ES"/>
        </w:rPr>
        <w:t xml:space="preserve">ublicar </w:t>
      </w:r>
      <w:r>
        <w:rPr>
          <w:rFonts w:ascii="Verdana" w:hAnsi="Verdana" w:cs="Calibri"/>
          <w:lang w:val="es-ES"/>
        </w:rPr>
        <w:t xml:space="preserve">anualmente </w:t>
      </w:r>
      <w:r w:rsidR="001761E4" w:rsidRPr="00BD6DAF">
        <w:rPr>
          <w:rFonts w:ascii="Verdana" w:hAnsi="Verdana" w:cs="Calibri"/>
          <w:lang w:val="es-ES"/>
        </w:rPr>
        <w:t>información consolidada de</w:t>
      </w:r>
      <w:r w:rsidR="00C33ACB">
        <w:rPr>
          <w:rFonts w:ascii="Verdana" w:hAnsi="Verdana" w:cs="Calibri"/>
          <w:lang w:val="es-ES"/>
        </w:rPr>
        <w:t xml:space="preserve"> las </w:t>
      </w:r>
      <w:r w:rsidR="0001452F">
        <w:rPr>
          <w:rFonts w:ascii="Verdana" w:hAnsi="Verdana" w:cs="Calibri"/>
          <w:lang w:val="es-ES"/>
        </w:rPr>
        <w:t>emisiones</w:t>
      </w:r>
      <w:r w:rsidR="00C33ACB">
        <w:rPr>
          <w:rFonts w:ascii="Verdana" w:hAnsi="Verdana" w:cs="Calibri"/>
          <w:lang w:val="es-ES"/>
        </w:rPr>
        <w:t xml:space="preserve"> de GEI reportadas en el año inmediatamente </w:t>
      </w:r>
      <w:r w:rsidR="0001452F">
        <w:rPr>
          <w:rFonts w:ascii="Verdana" w:hAnsi="Verdana" w:cs="Calibri"/>
          <w:lang w:val="es-ES"/>
        </w:rPr>
        <w:t>anterior</w:t>
      </w:r>
      <w:r w:rsidR="00C33ACB">
        <w:rPr>
          <w:rFonts w:ascii="Verdana" w:hAnsi="Verdana" w:cs="Calibri"/>
          <w:lang w:val="es-ES"/>
        </w:rPr>
        <w:t xml:space="preserve">, </w:t>
      </w:r>
      <w:r w:rsidR="001761E4" w:rsidRPr="00BD6DAF">
        <w:rPr>
          <w:rFonts w:ascii="Verdana" w:hAnsi="Verdana" w:cs="Calibri"/>
          <w:lang w:val="es-ES"/>
        </w:rPr>
        <w:t>garantizando su disponibilidad, transparencia y acceso conforme a la normativ</w:t>
      </w:r>
      <w:r w:rsidR="00CC2679">
        <w:rPr>
          <w:rFonts w:ascii="Verdana" w:hAnsi="Verdana" w:cs="Calibri"/>
          <w:lang w:val="es-ES"/>
        </w:rPr>
        <w:t>idad</w:t>
      </w:r>
      <w:r w:rsidR="001761E4" w:rsidRPr="00BD6DAF">
        <w:rPr>
          <w:rFonts w:ascii="Verdana" w:hAnsi="Verdana" w:cs="Calibri"/>
          <w:lang w:val="es-ES"/>
        </w:rPr>
        <w:t xml:space="preserve"> vigente.</w:t>
      </w:r>
    </w:p>
    <w:p w14:paraId="71D4E91C" w14:textId="1102D911" w:rsidR="003671E2" w:rsidRPr="00BD6DAF" w:rsidRDefault="001761E4" w:rsidP="00390CE8">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lastRenderedPageBreak/>
        <w:t xml:space="preserve">Liderar la articulación del ROE con otros sistemas, instrumentos y herramientas de información, </w:t>
      </w:r>
      <w:r w:rsidR="00BD6DAF" w:rsidRPr="00DD0A38">
        <w:rPr>
          <w:rFonts w:ascii="Verdana" w:hAnsi="Verdana" w:cs="Calibri"/>
          <w:lang w:val="es-ES" w:eastAsia="en-US"/>
        </w:rPr>
        <w:t>considerando los insumos técnicos de</w:t>
      </w:r>
      <w:r w:rsidR="00BD6DAF" w:rsidRPr="00DD0A38">
        <w:rPr>
          <w:rFonts w:ascii="Verdana" w:hAnsi="Verdana" w:cs="Calibri"/>
        </w:rPr>
        <w:t xml:space="preserve"> la Unidad </w:t>
      </w:r>
      <w:r w:rsidR="00BD6DAF">
        <w:rPr>
          <w:rFonts w:ascii="Verdana" w:hAnsi="Verdana" w:cs="Calibri"/>
        </w:rPr>
        <w:t xml:space="preserve">Técnica </w:t>
      </w:r>
      <w:r w:rsidR="00BD6DAF" w:rsidRPr="00DD0A38">
        <w:rPr>
          <w:rFonts w:ascii="Verdana" w:hAnsi="Verdana" w:cs="Calibri"/>
        </w:rPr>
        <w:t xml:space="preserve">de Apoyo </w:t>
      </w:r>
      <w:r w:rsidR="00BD6DAF" w:rsidRPr="00DD0A38">
        <w:rPr>
          <w:rFonts w:ascii="Verdana" w:hAnsi="Verdana" w:cs="Calibri"/>
          <w:lang w:val="es-ES" w:eastAsia="en-US"/>
        </w:rPr>
        <w:t>del ROE</w:t>
      </w:r>
      <w:r w:rsidR="00BD6DAF" w:rsidRPr="00DD0A38">
        <w:rPr>
          <w:rFonts w:ascii="Verdana" w:hAnsi="Verdana" w:cs="Calibri"/>
        </w:rPr>
        <w:t xml:space="preserve"> y del Comité Técnico del SNICC</w:t>
      </w:r>
      <w:r w:rsidRPr="00BD6DAF">
        <w:rPr>
          <w:rFonts w:ascii="Verdana" w:hAnsi="Verdana" w:cs="Calibri"/>
          <w:lang w:val="es-ES"/>
        </w:rPr>
        <w:t>.</w:t>
      </w:r>
    </w:p>
    <w:p w14:paraId="678A71FF" w14:textId="3724CEAA" w:rsidR="001761E4" w:rsidRPr="00BD6DAF" w:rsidRDefault="001761E4" w:rsidP="001761E4">
      <w:pPr>
        <w:pStyle w:val="Prrafodelista"/>
        <w:numPr>
          <w:ilvl w:val="0"/>
          <w:numId w:val="21"/>
        </w:numPr>
        <w:spacing w:line="279" w:lineRule="auto"/>
        <w:contextualSpacing/>
        <w:jc w:val="both"/>
        <w:rPr>
          <w:rFonts w:ascii="Verdana" w:hAnsi="Verdana" w:cs="Calibri"/>
        </w:rPr>
      </w:pPr>
      <w:r w:rsidRPr="00BD6DAF">
        <w:rPr>
          <w:rFonts w:ascii="Verdana" w:hAnsi="Verdana" w:cs="Calibri"/>
          <w:lang w:val="es-ES"/>
        </w:rPr>
        <w:t xml:space="preserve">Diseñar e implementar estrategias de socialización, </w:t>
      </w:r>
      <w:r w:rsidR="00CC2679">
        <w:rPr>
          <w:rFonts w:ascii="Verdana" w:hAnsi="Verdana" w:cs="Calibri"/>
          <w:lang w:val="es-ES"/>
        </w:rPr>
        <w:t xml:space="preserve">divulgación </w:t>
      </w:r>
      <w:r w:rsidRPr="00BD6DAF">
        <w:rPr>
          <w:rFonts w:ascii="Verdana" w:hAnsi="Verdana" w:cs="Calibri"/>
          <w:lang w:val="es-ES"/>
        </w:rPr>
        <w:t xml:space="preserve">y </w:t>
      </w:r>
      <w:r w:rsidR="008C0E25" w:rsidRPr="00BD6DAF">
        <w:rPr>
          <w:rFonts w:ascii="Verdana" w:hAnsi="Verdana" w:cs="Calibri"/>
          <w:lang w:val="es-ES"/>
        </w:rPr>
        <w:t>capacitaciones dirigidas</w:t>
      </w:r>
      <w:r w:rsidR="008C0E25">
        <w:rPr>
          <w:rFonts w:ascii="Verdana" w:hAnsi="Verdana" w:cs="Calibri"/>
          <w:lang w:val="es-ES"/>
        </w:rPr>
        <w:t xml:space="preserve"> entre otras, </w:t>
      </w:r>
      <w:r w:rsidRPr="00BD6DAF">
        <w:rPr>
          <w:rFonts w:ascii="Verdana" w:hAnsi="Verdana" w:cs="Calibri"/>
          <w:lang w:val="es-ES"/>
        </w:rPr>
        <w:t xml:space="preserve">a las personas jurídicas públicas, privadas o mixtas obligadas a reportar, para facilitar el cumplimiento de las disposiciones del ROE. </w:t>
      </w:r>
    </w:p>
    <w:p w14:paraId="454443EA" w14:textId="15ADB50A" w:rsidR="001761E4" w:rsidRPr="00BD6DAF" w:rsidRDefault="00BD6DAF" w:rsidP="001761E4">
      <w:pPr>
        <w:pStyle w:val="Prrafodelista"/>
        <w:numPr>
          <w:ilvl w:val="0"/>
          <w:numId w:val="21"/>
        </w:numPr>
        <w:spacing w:line="279" w:lineRule="auto"/>
        <w:contextualSpacing/>
        <w:jc w:val="both"/>
        <w:rPr>
          <w:rFonts w:ascii="Verdana" w:hAnsi="Verdana" w:cs="Calibri"/>
        </w:rPr>
      </w:pPr>
      <w:r>
        <w:rPr>
          <w:rFonts w:ascii="Verdana" w:hAnsi="Verdana" w:cs="Calibri"/>
          <w:lang w:val="es-ES"/>
        </w:rPr>
        <w:t xml:space="preserve"> </w:t>
      </w:r>
      <w:r w:rsidR="001761E4" w:rsidRPr="00BD6DAF">
        <w:rPr>
          <w:rFonts w:ascii="Verdana" w:hAnsi="Verdana" w:cs="Calibri"/>
          <w:lang w:val="es-ES"/>
        </w:rPr>
        <w:t>Brindar soporte técnico y orientación a las personas jurídicas públicas, privadas o mixtas obligadas a reportar en el proceso de reporte de la información sobre emisiones de GEI.</w:t>
      </w:r>
    </w:p>
    <w:p w14:paraId="2181D696" w14:textId="19EF8087" w:rsidR="005B58A5" w:rsidRDefault="00880DC3" w:rsidP="004D715A">
      <w:pPr>
        <w:spacing w:before="240" w:after="240"/>
        <w:jc w:val="both"/>
        <w:rPr>
          <w:rFonts w:ascii="Verdana" w:eastAsia="Verdana" w:hAnsi="Verdana" w:cs="Verdana"/>
          <w:color w:val="000000"/>
        </w:rPr>
      </w:pPr>
      <w:r>
        <w:rPr>
          <w:rFonts w:ascii="Verdana" w:eastAsia="Verdana" w:hAnsi="Verdana" w:cs="Verdana"/>
          <w:b/>
          <w:bCs/>
          <w:color w:val="000000"/>
        </w:rPr>
        <w:t>Parágrafo.</w:t>
      </w:r>
      <w:r>
        <w:rPr>
          <w:rFonts w:ascii="Verdana" w:eastAsia="Verdana" w:hAnsi="Verdana" w:cs="Verdana"/>
          <w:color w:val="000000"/>
        </w:rPr>
        <w:t xml:space="preserve"> El Ministerio de Ambiente y Desarrollo Sostenible, dentro de los</w:t>
      </w:r>
      <w:r w:rsidR="005C1C60">
        <w:rPr>
          <w:rFonts w:ascii="Verdana" w:eastAsia="Verdana" w:hAnsi="Verdana" w:cs="Verdana"/>
          <w:color w:val="000000"/>
        </w:rPr>
        <w:t xml:space="preserve"> seis</w:t>
      </w:r>
      <w:r>
        <w:rPr>
          <w:rFonts w:ascii="Verdana" w:eastAsia="Verdana" w:hAnsi="Verdana" w:cs="Verdana"/>
          <w:color w:val="000000"/>
        </w:rPr>
        <w:t xml:space="preserve"> (</w:t>
      </w:r>
      <w:r w:rsidR="005C1C60">
        <w:rPr>
          <w:rFonts w:ascii="Verdana" w:eastAsia="Verdana" w:hAnsi="Verdana" w:cs="Verdana"/>
          <w:color w:val="000000"/>
        </w:rPr>
        <w:t>6</w:t>
      </w:r>
      <w:r>
        <w:rPr>
          <w:rFonts w:ascii="Verdana" w:eastAsia="Verdana" w:hAnsi="Verdana" w:cs="Verdana"/>
          <w:color w:val="000000"/>
        </w:rPr>
        <w:t>) meses siguientes a la expedición de la presente resolución, realizará los ajustes a los procesos, procedimientos y manuales de funciones correspondientes, a fin de asignar las atribuciones aquí descritas entre las distintas dependencias.</w:t>
      </w:r>
    </w:p>
    <w:p w14:paraId="46232B85" w14:textId="4A353F12" w:rsidR="004D715A" w:rsidRPr="00A250AF" w:rsidRDefault="004D715A" w:rsidP="008532C6">
      <w:pPr>
        <w:spacing w:before="240" w:after="240"/>
        <w:jc w:val="both"/>
        <w:rPr>
          <w:rFonts w:ascii="Verdana" w:hAnsi="Verdana"/>
          <w:color w:val="232425"/>
          <w:lang w:val="es-ES"/>
        </w:rPr>
      </w:pPr>
      <w:r w:rsidRPr="006D0FFF">
        <w:rPr>
          <w:rFonts w:ascii="Verdana" w:hAnsi="Verdana"/>
          <w:b/>
          <w:bCs/>
          <w:lang w:val="es-ES"/>
        </w:rPr>
        <w:t xml:space="preserve">Artículo </w:t>
      </w:r>
      <w:r w:rsidR="00A52D7C" w:rsidRPr="006D0FFF">
        <w:rPr>
          <w:rFonts w:ascii="Verdana" w:hAnsi="Verdana"/>
          <w:b/>
          <w:bCs/>
          <w:lang w:val="es-ES"/>
        </w:rPr>
        <w:t>3</w:t>
      </w:r>
      <w:r w:rsidR="00786E3A">
        <w:rPr>
          <w:rFonts w:ascii="Verdana" w:hAnsi="Verdana"/>
          <w:b/>
          <w:bCs/>
          <w:lang w:val="es-ES"/>
        </w:rPr>
        <w:t>5</w:t>
      </w:r>
      <w:r w:rsidRPr="006D0FFF">
        <w:rPr>
          <w:rFonts w:ascii="Verdana" w:hAnsi="Verdana"/>
          <w:b/>
          <w:bCs/>
          <w:lang w:val="es-ES"/>
        </w:rPr>
        <w:t>. Articulación del ROE con otros sistemas, instrumentos y herramientas de información.</w:t>
      </w:r>
      <w:r w:rsidR="006D0FFF">
        <w:rPr>
          <w:rFonts w:ascii="Verdana" w:hAnsi="Verdana"/>
          <w:b/>
          <w:bCs/>
          <w:lang w:val="es-ES"/>
        </w:rPr>
        <w:t xml:space="preserve"> </w:t>
      </w:r>
      <w:r w:rsidR="006C0003" w:rsidRPr="006D0FFF">
        <w:rPr>
          <w:rFonts w:ascii="Verdana" w:hAnsi="Verdana"/>
          <w:lang w:val="es-ES"/>
        </w:rPr>
        <w:t xml:space="preserve">El </w:t>
      </w:r>
      <w:r w:rsidRPr="006D0FFF">
        <w:rPr>
          <w:rFonts w:ascii="Verdana" w:hAnsi="Verdana"/>
          <w:lang w:val="es-ES"/>
        </w:rPr>
        <w:t xml:space="preserve">ROE, como instrumento del Sistema de Información Ambiental para Colombia (SIAC) en el marco del Sistema Nacional de Información sobre Cambio Climático (SNICC), </w:t>
      </w:r>
      <w:r w:rsidR="000B6C8B">
        <w:rPr>
          <w:rFonts w:ascii="Verdana" w:hAnsi="Verdana"/>
          <w:lang w:val="es-ES"/>
        </w:rPr>
        <w:t xml:space="preserve">podrá articularse </w:t>
      </w:r>
      <w:r w:rsidRPr="006D0FFF">
        <w:rPr>
          <w:rFonts w:ascii="Verdana" w:hAnsi="Verdana"/>
          <w:lang w:val="es-ES"/>
        </w:rPr>
        <w:t xml:space="preserve">de manera progresiva </w:t>
      </w:r>
      <w:r w:rsidR="005267DB" w:rsidRPr="006D0FFF">
        <w:rPr>
          <w:rFonts w:ascii="Verdana" w:hAnsi="Verdana"/>
          <w:lang w:val="es-ES"/>
        </w:rPr>
        <w:t>y en función de criterios té</w:t>
      </w:r>
      <w:r w:rsidR="00DB6732" w:rsidRPr="006D0FFF">
        <w:rPr>
          <w:rFonts w:ascii="Verdana" w:hAnsi="Verdana"/>
          <w:lang w:val="es-ES"/>
        </w:rPr>
        <w:t xml:space="preserve">cnicos, </w:t>
      </w:r>
      <w:r w:rsidRPr="006D0FFF">
        <w:rPr>
          <w:rFonts w:ascii="Verdana" w:hAnsi="Verdana"/>
          <w:lang w:val="es-ES"/>
        </w:rPr>
        <w:t xml:space="preserve">con otros sistemas, instrumentos y herramientas </w:t>
      </w:r>
      <w:r w:rsidR="002C0FC5">
        <w:rPr>
          <w:rFonts w:ascii="Verdana" w:hAnsi="Verdana"/>
          <w:lang w:val="es-ES"/>
        </w:rPr>
        <w:t xml:space="preserve">que provean o generen </w:t>
      </w:r>
      <w:r w:rsidRPr="006D0FFF">
        <w:rPr>
          <w:rFonts w:ascii="Verdana" w:hAnsi="Verdana"/>
          <w:lang w:val="es-ES"/>
        </w:rPr>
        <w:t>información para la gestión del cambio climático</w:t>
      </w:r>
      <w:r w:rsidR="003628CA">
        <w:rPr>
          <w:rFonts w:ascii="Verdana" w:hAnsi="Verdana"/>
          <w:lang w:val="es-ES"/>
        </w:rPr>
        <w:t xml:space="preserve">, </w:t>
      </w:r>
      <w:r w:rsidR="008532C6">
        <w:rPr>
          <w:rFonts w:ascii="Verdana" w:hAnsi="Verdana"/>
          <w:lang w:val="es-ES"/>
        </w:rPr>
        <w:t>tomando en consideración las recomendación del Comité</w:t>
      </w:r>
      <w:r w:rsidR="008532C6" w:rsidRPr="00D97902">
        <w:rPr>
          <w:rFonts w:ascii="Verdana" w:hAnsi="Verdana"/>
          <w:color w:val="232425"/>
          <w:lang w:val="es-ES"/>
        </w:rPr>
        <w:t xml:space="preserve"> Técnico del </w:t>
      </w:r>
      <w:r w:rsidR="008532C6" w:rsidRPr="00A250AF">
        <w:rPr>
          <w:rFonts w:ascii="Verdana" w:hAnsi="Verdana"/>
          <w:color w:val="232425"/>
          <w:lang w:val="es-ES"/>
        </w:rPr>
        <w:t>SNICC, respetando la autonomía institucional y las competencias específicas.</w:t>
      </w:r>
    </w:p>
    <w:p w14:paraId="2F6487E1" w14:textId="5A6E4CEF" w:rsidR="00A642AE" w:rsidRDefault="00742483">
      <w:pPr>
        <w:spacing w:line="240" w:lineRule="auto"/>
        <w:jc w:val="both"/>
        <w:rPr>
          <w:rFonts w:ascii="Verdana" w:eastAsia="Verdana" w:hAnsi="Verdana" w:cs="Verdana"/>
          <w:b/>
          <w:bCs/>
        </w:rPr>
      </w:pPr>
      <w:r w:rsidRPr="00A250AF">
        <w:rPr>
          <w:rFonts w:ascii="Verdana" w:hAnsi="Verdana"/>
          <w:b/>
          <w:bCs/>
          <w:lang w:val="es-ES"/>
        </w:rPr>
        <w:t>Artículo 3</w:t>
      </w:r>
      <w:r w:rsidR="00786E3A" w:rsidRPr="00A250AF">
        <w:rPr>
          <w:rFonts w:ascii="Verdana" w:hAnsi="Verdana"/>
          <w:b/>
          <w:bCs/>
          <w:lang w:val="es-ES"/>
        </w:rPr>
        <w:t>6</w:t>
      </w:r>
      <w:r w:rsidRPr="00A250AF">
        <w:rPr>
          <w:rFonts w:ascii="Verdana" w:hAnsi="Verdana"/>
          <w:b/>
          <w:bCs/>
          <w:lang w:val="es-ES"/>
        </w:rPr>
        <w:t xml:space="preserve">. </w:t>
      </w:r>
      <w:r w:rsidR="00A250AF" w:rsidRPr="00A250AF">
        <w:rPr>
          <w:rFonts w:ascii="Verdana" w:hAnsi="Verdana"/>
          <w:b/>
          <w:bCs/>
          <w:lang w:val="es-ES"/>
        </w:rPr>
        <w:t>Del régimen sancionatorio</w:t>
      </w:r>
      <w:r w:rsidR="00894181" w:rsidRPr="00A250AF">
        <w:rPr>
          <w:rFonts w:ascii="Verdana" w:hAnsi="Verdana"/>
          <w:b/>
          <w:bCs/>
          <w:lang w:val="es-ES"/>
        </w:rPr>
        <w:t xml:space="preserve">. </w:t>
      </w:r>
      <w:r w:rsidRPr="00A250AF">
        <w:rPr>
          <w:rFonts w:ascii="Verdana" w:hAnsi="Verdana"/>
          <w:lang w:val="es-ES"/>
        </w:rPr>
        <w:t xml:space="preserve">El incumplimiento </w:t>
      </w:r>
      <w:r w:rsidR="00A250AF" w:rsidRPr="00A250AF">
        <w:rPr>
          <w:rFonts w:ascii="Verdana" w:hAnsi="Verdana"/>
          <w:lang w:val="es-ES"/>
        </w:rPr>
        <w:t>a lo dispuesto</w:t>
      </w:r>
      <w:r w:rsidRPr="00A250AF">
        <w:rPr>
          <w:rFonts w:ascii="Verdana" w:hAnsi="Verdana"/>
          <w:lang w:val="es-ES"/>
        </w:rPr>
        <w:t xml:space="preserve"> en la presente Resolución dará lugar a las correspondientes sanciones, en el marco de las disposiciones de la Ley 1333 de 2009, modificada por la Ley 2387 de 2024 o la norma que la modifique o sustituya.</w:t>
      </w:r>
    </w:p>
    <w:p w14:paraId="3445D070" w14:textId="77490E34" w:rsidR="000A3508" w:rsidRDefault="00880DC3">
      <w:pPr>
        <w:spacing w:line="240" w:lineRule="auto"/>
        <w:jc w:val="both"/>
        <w:rPr>
          <w:rFonts w:ascii="Verdana" w:eastAsia="Verdana" w:hAnsi="Verdana" w:cs="Verdana"/>
        </w:rPr>
      </w:pPr>
      <w:r>
        <w:rPr>
          <w:rFonts w:ascii="Verdana" w:eastAsia="Verdana" w:hAnsi="Verdana" w:cs="Verdana"/>
          <w:b/>
          <w:bCs/>
        </w:rPr>
        <w:t>Artículo 3</w:t>
      </w:r>
      <w:r w:rsidR="00A52D7C">
        <w:rPr>
          <w:rFonts w:ascii="Verdana" w:eastAsia="Verdana" w:hAnsi="Verdana" w:cs="Verdana"/>
          <w:b/>
          <w:bCs/>
        </w:rPr>
        <w:t>7</w:t>
      </w:r>
      <w:r>
        <w:rPr>
          <w:rFonts w:ascii="Verdana" w:eastAsia="Verdana" w:hAnsi="Verdana" w:cs="Verdana"/>
          <w:b/>
          <w:bCs/>
        </w:rPr>
        <w:t>. Vigencia.</w:t>
      </w:r>
      <w:r>
        <w:rPr>
          <w:rFonts w:ascii="Verdana" w:eastAsia="Verdana" w:hAnsi="Verdana" w:cs="Verdana"/>
        </w:rPr>
        <w:t xml:space="preserve"> La presente Resolución rige a partir de la fecha de su publicación.</w:t>
      </w:r>
    </w:p>
    <w:p w14:paraId="3445D071" w14:textId="77777777" w:rsidR="000A3508" w:rsidRDefault="00880DC3">
      <w:pPr>
        <w:spacing w:line="240" w:lineRule="auto"/>
        <w:jc w:val="both"/>
        <w:rPr>
          <w:rFonts w:ascii="Verdana" w:eastAsia="Verdana" w:hAnsi="Verdana" w:cs="Verdana"/>
        </w:rPr>
      </w:pPr>
      <w:r>
        <w:rPr>
          <w:rFonts w:ascii="Verdana" w:eastAsia="Verdana" w:hAnsi="Verdana" w:cs="Verdana"/>
        </w:rPr>
        <w:t xml:space="preserve">Dada en Bogotá, D.C., a los </w:t>
      </w:r>
      <w:proofErr w:type="spellStart"/>
      <w:r>
        <w:rPr>
          <w:rFonts w:ascii="Verdana" w:eastAsia="Verdana" w:hAnsi="Verdana" w:cs="Verdana"/>
        </w:rPr>
        <w:t>xxx</w:t>
      </w:r>
      <w:proofErr w:type="spellEnd"/>
      <w:r>
        <w:rPr>
          <w:rFonts w:ascii="Verdana" w:eastAsia="Verdana" w:hAnsi="Verdana" w:cs="Verdana"/>
        </w:rPr>
        <w:t xml:space="preserve"> (   ) días del mes de _____ </w:t>
      </w:r>
      <w:proofErr w:type="spellStart"/>
      <w:r>
        <w:rPr>
          <w:rFonts w:ascii="Verdana" w:eastAsia="Verdana" w:hAnsi="Verdana" w:cs="Verdana"/>
        </w:rPr>
        <w:t>de</w:t>
      </w:r>
      <w:proofErr w:type="spellEnd"/>
      <w:r>
        <w:rPr>
          <w:rFonts w:ascii="Verdana" w:eastAsia="Verdana" w:hAnsi="Verdana" w:cs="Verdana"/>
        </w:rPr>
        <w:t xml:space="preserve"> 202___.</w:t>
      </w:r>
    </w:p>
    <w:p w14:paraId="3445D072" w14:textId="77777777" w:rsidR="000A3508" w:rsidRDefault="000A3508">
      <w:pPr>
        <w:spacing w:line="240" w:lineRule="auto"/>
        <w:jc w:val="both"/>
        <w:rPr>
          <w:rFonts w:ascii="Verdana" w:eastAsia="Verdana" w:hAnsi="Verdana" w:cs="Verdana"/>
        </w:rPr>
      </w:pPr>
    </w:p>
    <w:p w14:paraId="3445D073" w14:textId="77777777" w:rsidR="000A3508" w:rsidRDefault="00880DC3">
      <w:pPr>
        <w:spacing w:line="240" w:lineRule="auto"/>
        <w:jc w:val="center"/>
        <w:rPr>
          <w:rFonts w:ascii="Verdana" w:eastAsia="Verdana" w:hAnsi="Verdana" w:cs="Verdana"/>
          <w:b/>
          <w:bCs/>
        </w:rPr>
      </w:pPr>
      <w:r>
        <w:rPr>
          <w:rFonts w:ascii="Verdana" w:eastAsia="Verdana" w:hAnsi="Verdana" w:cs="Verdana"/>
          <w:b/>
          <w:bCs/>
        </w:rPr>
        <w:t>PUBLÍQUESE, COMUNÍQUESE Y CÚMPLASE</w:t>
      </w:r>
    </w:p>
    <w:p w14:paraId="3445D074" w14:textId="77777777" w:rsidR="000A3508" w:rsidRDefault="000A3508">
      <w:pPr>
        <w:spacing w:line="240" w:lineRule="auto"/>
        <w:rPr>
          <w:rFonts w:ascii="Verdana" w:eastAsia="Verdana" w:hAnsi="Verdana" w:cs="Verdana"/>
          <w:b/>
          <w:bCs/>
        </w:rPr>
      </w:pPr>
    </w:p>
    <w:p w14:paraId="3445D075" w14:textId="77777777" w:rsidR="000A3508" w:rsidRDefault="00880DC3">
      <w:pPr>
        <w:spacing w:after="0" w:line="240" w:lineRule="auto"/>
        <w:ind w:left="-284" w:right="-232"/>
        <w:jc w:val="center"/>
        <w:rPr>
          <w:rFonts w:ascii="Verdana" w:eastAsia="Verdana" w:hAnsi="Verdana" w:cs="Verdana"/>
          <w:b/>
          <w:bCs/>
        </w:rPr>
      </w:pPr>
      <w:r>
        <w:rPr>
          <w:rFonts w:ascii="Verdana" w:eastAsia="Verdana" w:hAnsi="Verdana" w:cs="Verdana"/>
          <w:b/>
          <w:bCs/>
        </w:rPr>
        <w:t>IRENE VÉLEZ TORRES</w:t>
      </w:r>
    </w:p>
    <w:p w14:paraId="3445D076" w14:textId="77777777" w:rsidR="000A3508" w:rsidRDefault="00880DC3">
      <w:pPr>
        <w:spacing w:after="0" w:line="240" w:lineRule="auto"/>
        <w:ind w:left="-284" w:right="-232"/>
        <w:jc w:val="center"/>
        <w:rPr>
          <w:rFonts w:ascii="Verdana" w:eastAsia="Verdana" w:hAnsi="Verdana" w:cs="Verdana"/>
        </w:rPr>
      </w:pPr>
      <w:r>
        <w:rPr>
          <w:rFonts w:ascii="Verdana" w:eastAsia="Verdana" w:hAnsi="Verdana" w:cs="Verdana"/>
        </w:rPr>
        <w:t>Ministra de Ambiente y Desarrollo Sostenible (E)</w:t>
      </w:r>
    </w:p>
    <w:p w14:paraId="3445D077" w14:textId="77777777" w:rsidR="000A3508" w:rsidRDefault="000A3508">
      <w:pPr>
        <w:spacing w:line="240" w:lineRule="auto"/>
        <w:rPr>
          <w:rFonts w:ascii="Verdana" w:eastAsia="Verdana" w:hAnsi="Verdana" w:cs="Verdana"/>
          <w:color w:val="BFBFBF"/>
        </w:rPr>
      </w:pPr>
    </w:p>
    <w:p w14:paraId="3445D07C" w14:textId="77777777" w:rsidR="000A3508" w:rsidRDefault="000A3508">
      <w:pPr>
        <w:spacing w:after="0" w:line="240" w:lineRule="auto"/>
        <w:ind w:left="-284"/>
        <w:rPr>
          <w:rFonts w:ascii="Verdana" w:eastAsia="Verdana" w:hAnsi="Verdana" w:cs="Verdana"/>
          <w:sz w:val="20"/>
          <w:szCs w:val="20"/>
        </w:rPr>
      </w:pPr>
    </w:p>
    <w:p w14:paraId="3445D07E" w14:textId="77777777" w:rsidR="000A3508" w:rsidRDefault="000A3508">
      <w:pPr>
        <w:spacing w:after="0" w:line="240" w:lineRule="auto"/>
        <w:ind w:left="-284"/>
        <w:rPr>
          <w:rFonts w:ascii="Verdana" w:eastAsia="Verdana" w:hAnsi="Verdana" w:cs="Verdana"/>
          <w:color w:val="D9D9D9"/>
        </w:rPr>
      </w:pPr>
    </w:p>
    <w:sectPr w:rsidR="000A3508">
      <w:headerReference w:type="even" r:id="rId10"/>
      <w:headerReference w:type="default" r:id="rId11"/>
      <w:footerReference w:type="even" r:id="rId12"/>
      <w:footerReference w:type="default" r:id="rId13"/>
      <w:headerReference w:type="first" r:id="rId14"/>
      <w:footerReference w:type="first" r:id="rId15"/>
      <w:pgSz w:w="12242" w:h="18722"/>
      <w:pgMar w:top="2410" w:right="1701" w:bottom="1418" w:left="1701" w:header="709" w:footer="35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327FF" w14:textId="77777777" w:rsidR="00C75CB1" w:rsidRDefault="00C75CB1">
      <w:pPr>
        <w:spacing w:after="0" w:line="240" w:lineRule="auto"/>
      </w:pPr>
      <w:r>
        <w:separator/>
      </w:r>
    </w:p>
  </w:endnote>
  <w:endnote w:type="continuationSeparator" w:id="0">
    <w:p w14:paraId="13F416E8" w14:textId="77777777" w:rsidR="00C75CB1" w:rsidRDefault="00C75C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37C2D2A0-F5C5-4AB4-8407-C69D787149D4}"/>
  </w:font>
  <w:font w:name="Calibri">
    <w:panose1 w:val="020F0502020204030204"/>
    <w:charset w:val="00"/>
    <w:family w:val="swiss"/>
    <w:pitch w:val="variable"/>
    <w:sig w:usb0="E4002EFF" w:usb1="C200247B" w:usb2="00000009" w:usb3="00000000" w:csb0="000001FF" w:csb1="00000000"/>
    <w:embedRegular r:id="rId2" w:fontKey="{055CD879-5EA2-45BA-9B1E-1F69BACC0F6A}"/>
    <w:embedBold r:id="rId3" w:fontKey="{559BC174-31A4-440A-8EFE-C712AD82C136}"/>
  </w:font>
  <w:font w:name="Aptos">
    <w:charset w:val="00"/>
    <w:family w:val="swiss"/>
    <w:pitch w:val="variable"/>
    <w:sig w:usb0="20000287" w:usb1="00000003" w:usb2="00000000" w:usb3="00000000" w:csb0="0000019F" w:csb1="00000000"/>
    <w:embedRegular r:id="rId4" w:fontKey="{012BA810-50B8-4F5B-89B9-2CC5F3B0CCF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039AF998-6BCA-4A76-834B-01EF053A1E84}"/>
  </w:font>
  <w:font w:name="Segoe UI">
    <w:panose1 w:val="020B0502040204020203"/>
    <w:charset w:val="00"/>
    <w:family w:val="swiss"/>
    <w:pitch w:val="variable"/>
    <w:sig w:usb0="E4002EFF" w:usb1="C000E47F" w:usb2="00000009" w:usb3="00000000" w:csb0="000001FF" w:csb1="00000000"/>
    <w:embedRegular r:id="rId6" w:fontKey="{6E974FDF-B2A5-4068-81A1-B1D7575555B5}"/>
  </w:font>
  <w:font w:name="Verdana">
    <w:panose1 w:val="020B0604030504040204"/>
    <w:charset w:val="00"/>
    <w:family w:val="swiss"/>
    <w:pitch w:val="variable"/>
    <w:sig w:usb0="A00006FF" w:usb1="4000205B" w:usb2="00000010" w:usb3="00000000" w:csb0="0000019F" w:csb1="00000000"/>
    <w:embedRegular r:id="rId7" w:fontKey="{7239B752-274E-45FB-A5AB-1C728CEB867A}"/>
    <w:embedBold r:id="rId8" w:fontKey="{93764817-D525-47DC-B998-24057137D808}"/>
    <w:embedItalic r:id="rId9" w:fontKey="{5C220821-200C-408E-A130-6C125ADC60D4}"/>
  </w:font>
  <w:font w:name="Calibri Light">
    <w:panose1 w:val="020F0302020204030204"/>
    <w:charset w:val="00"/>
    <w:family w:val="swiss"/>
    <w:pitch w:val="variable"/>
    <w:sig w:usb0="E4002EFF" w:usb1="C200247B" w:usb2="00000009" w:usb3="00000000" w:csb0="000001FF" w:csb1="00000000"/>
    <w:embedRegular r:id="rId10" w:fontKey="{FB05CBDF-D669-4DD6-AE02-C12EE74A91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A"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B" w14:textId="463946AD" w:rsidR="00346A97" w:rsidRDefault="00346A97">
    <w:pPr>
      <w:pBdr>
        <w:top w:val="nil"/>
        <w:left w:val="nil"/>
        <w:bottom w:val="nil"/>
        <w:right w:val="nil"/>
        <w:between w:val="nil"/>
      </w:pBdr>
      <w:tabs>
        <w:tab w:val="center" w:pos="4419"/>
        <w:tab w:val="right" w:pos="8838"/>
      </w:tabs>
      <w:spacing w:after="0" w:line="240" w:lineRule="auto"/>
      <w:jc w:val="right"/>
      <w:rPr>
        <w:rFonts w:ascii="Verdana" w:eastAsia="Verdana" w:hAnsi="Verdana" w:cs="Verdana"/>
        <w:b/>
        <w:bCs/>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PAGE</w:instrText>
    </w:r>
    <w:r>
      <w:rPr>
        <w:rFonts w:ascii="Verdana" w:eastAsia="Verdana" w:hAnsi="Verdana" w:cs="Verdana"/>
        <w:b/>
        <w:bCs/>
        <w:color w:val="000000"/>
        <w:sz w:val="18"/>
        <w:szCs w:val="18"/>
      </w:rPr>
      <w:fldChar w:fldCharType="separate"/>
    </w:r>
    <w:r w:rsidR="00A8135D">
      <w:rPr>
        <w:rFonts w:ascii="Verdana" w:eastAsia="Verdana" w:hAnsi="Verdana" w:cs="Verdana"/>
        <w:b/>
        <w:bCs/>
        <w:noProof/>
        <w:color w:val="000000"/>
        <w:sz w:val="18"/>
        <w:szCs w:val="18"/>
      </w:rPr>
      <w:t>22</w:t>
    </w:r>
    <w:r>
      <w:rPr>
        <w:rFonts w:ascii="Verdana" w:eastAsia="Verdana" w:hAnsi="Verdana" w:cs="Verdana"/>
        <w:b/>
        <w:bCs/>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NUMPAGES</w:instrText>
    </w:r>
    <w:r>
      <w:rPr>
        <w:rFonts w:ascii="Verdana" w:eastAsia="Verdana" w:hAnsi="Verdana" w:cs="Verdana"/>
        <w:b/>
        <w:bCs/>
        <w:color w:val="000000"/>
        <w:sz w:val="18"/>
        <w:szCs w:val="18"/>
      </w:rPr>
      <w:fldChar w:fldCharType="separate"/>
    </w:r>
    <w:r w:rsidR="00A8135D">
      <w:rPr>
        <w:rFonts w:ascii="Verdana" w:eastAsia="Verdana" w:hAnsi="Verdana" w:cs="Verdana"/>
        <w:b/>
        <w:bCs/>
        <w:noProof/>
        <w:color w:val="000000"/>
        <w:sz w:val="18"/>
        <w:szCs w:val="18"/>
      </w:rPr>
      <w:t>23</w:t>
    </w:r>
    <w:r>
      <w:rPr>
        <w:rFonts w:ascii="Verdana" w:eastAsia="Verdana" w:hAnsi="Verdana" w:cs="Verdana"/>
        <w:b/>
        <w:bCs/>
        <w:color w:val="000000"/>
        <w:sz w:val="18"/>
        <w:szCs w:val="18"/>
      </w:rPr>
      <w:fldChar w:fldCharType="end"/>
    </w:r>
  </w:p>
  <w:p w14:paraId="3445D0AC" w14:textId="77777777" w:rsidR="00346A97" w:rsidRDefault="00346A97">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F-M-INA-46:V5 17-02-2025</w:t>
    </w:r>
  </w:p>
  <w:p w14:paraId="3445D0AD"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F" w14:textId="549FBC49" w:rsidR="00346A97" w:rsidRDefault="00346A97">
    <w:pPr>
      <w:pBdr>
        <w:top w:val="nil"/>
        <w:left w:val="nil"/>
        <w:bottom w:val="nil"/>
        <w:right w:val="nil"/>
        <w:between w:val="nil"/>
      </w:pBdr>
      <w:tabs>
        <w:tab w:val="center" w:pos="4419"/>
        <w:tab w:val="right" w:pos="8838"/>
      </w:tabs>
      <w:spacing w:after="0" w:line="240" w:lineRule="auto"/>
      <w:jc w:val="right"/>
      <w:rPr>
        <w:rFonts w:ascii="Verdana" w:eastAsia="Verdana" w:hAnsi="Verdana" w:cs="Verdana"/>
        <w:b/>
        <w:bCs/>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PAGE</w:instrText>
    </w:r>
    <w:r>
      <w:rPr>
        <w:rFonts w:ascii="Verdana" w:eastAsia="Verdana" w:hAnsi="Verdana" w:cs="Verdana"/>
        <w:b/>
        <w:bCs/>
        <w:color w:val="000000"/>
        <w:sz w:val="18"/>
        <w:szCs w:val="18"/>
      </w:rPr>
      <w:fldChar w:fldCharType="separate"/>
    </w:r>
    <w:r w:rsidR="00E751C2">
      <w:rPr>
        <w:rFonts w:ascii="Verdana" w:eastAsia="Verdana" w:hAnsi="Verdana" w:cs="Verdana"/>
        <w:b/>
        <w:bCs/>
        <w:noProof/>
        <w:color w:val="000000"/>
        <w:sz w:val="18"/>
        <w:szCs w:val="18"/>
      </w:rPr>
      <w:t>1</w:t>
    </w:r>
    <w:r>
      <w:rPr>
        <w:rFonts w:ascii="Verdana" w:eastAsia="Verdana" w:hAnsi="Verdana" w:cs="Verdana"/>
        <w:b/>
        <w:bCs/>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NUMPAGES</w:instrText>
    </w:r>
    <w:r>
      <w:rPr>
        <w:rFonts w:ascii="Verdana" w:eastAsia="Verdana" w:hAnsi="Verdana" w:cs="Verdana"/>
        <w:b/>
        <w:bCs/>
        <w:color w:val="000000"/>
        <w:sz w:val="18"/>
        <w:szCs w:val="18"/>
      </w:rPr>
      <w:fldChar w:fldCharType="separate"/>
    </w:r>
    <w:r w:rsidR="00E751C2">
      <w:rPr>
        <w:rFonts w:ascii="Verdana" w:eastAsia="Verdana" w:hAnsi="Verdana" w:cs="Verdana"/>
        <w:b/>
        <w:bCs/>
        <w:noProof/>
        <w:color w:val="000000"/>
        <w:sz w:val="18"/>
        <w:szCs w:val="18"/>
      </w:rPr>
      <w:t>23</w:t>
    </w:r>
    <w:r>
      <w:rPr>
        <w:rFonts w:ascii="Verdana" w:eastAsia="Verdana" w:hAnsi="Verdana" w:cs="Verdana"/>
        <w:b/>
        <w:bCs/>
        <w:color w:val="000000"/>
        <w:sz w:val="18"/>
        <w:szCs w:val="18"/>
      </w:rPr>
      <w:fldChar w:fldCharType="end"/>
    </w:r>
  </w:p>
  <w:p w14:paraId="3445D0B0" w14:textId="77777777" w:rsidR="00346A97" w:rsidRDefault="00346A97">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F-M-INA-46:V5 17-02-2025</w:t>
    </w:r>
  </w:p>
  <w:p w14:paraId="3445D0B1"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68997" w14:textId="77777777" w:rsidR="00C75CB1" w:rsidRDefault="00C75CB1">
      <w:pPr>
        <w:spacing w:after="0" w:line="240" w:lineRule="auto"/>
      </w:pPr>
      <w:r>
        <w:separator/>
      </w:r>
    </w:p>
  </w:footnote>
  <w:footnote w:type="continuationSeparator" w:id="0">
    <w:p w14:paraId="59076147" w14:textId="77777777" w:rsidR="00C75CB1" w:rsidRDefault="00C75C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8"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9"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r>
      <w:rPr>
        <w:noProof/>
        <w:lang w:val="en-US" w:eastAsia="en-US"/>
      </w:rPr>
      <w:drawing>
        <wp:anchor distT="0" distB="0" distL="114300" distR="114300" simplePos="0" relativeHeight="251658240" behindDoc="0" locked="0" layoutInCell="1" hidden="0" allowOverlap="1" wp14:anchorId="3445D0B2" wp14:editId="3445D0B3">
          <wp:simplePos x="0" y="0"/>
          <wp:positionH relativeFrom="column">
            <wp:posOffset>-664209</wp:posOffset>
          </wp:positionH>
          <wp:positionV relativeFrom="paragraph">
            <wp:posOffset>-450214</wp:posOffset>
          </wp:positionV>
          <wp:extent cx="7056663" cy="11657330"/>
          <wp:effectExtent l="0" t="0" r="0" b="0"/>
          <wp:wrapNone/>
          <wp:docPr id="203703343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7056663" cy="11657330"/>
                  </a:xfrm>
                  <a:prstGeom prst="rect">
                    <a:avLst/>
                  </a:prstGeom>
                  <a:ln/>
                </pic:spPr>
              </pic:pic>
            </a:graphicData>
          </a:graphic>
        </wp:anchor>
      </w:drawing>
    </w:r>
    <w:r>
      <w:rPr>
        <w:noProof/>
        <w:lang w:val="en-US" w:eastAsia="en-US"/>
      </w:rPr>
      <mc:AlternateContent>
        <mc:Choice Requires="wps">
          <w:drawing>
            <wp:anchor distT="45720" distB="45720" distL="114300" distR="114300" simplePos="0" relativeHeight="251659264" behindDoc="0" locked="0" layoutInCell="1" hidden="0" allowOverlap="1" wp14:anchorId="3445D0B4" wp14:editId="3445D0B5">
              <wp:simplePos x="0" y="0"/>
              <wp:positionH relativeFrom="column">
                <wp:posOffset>-218121</wp:posOffset>
              </wp:positionH>
              <wp:positionV relativeFrom="paragraph">
                <wp:posOffset>849948</wp:posOffset>
              </wp:positionV>
              <wp:extent cx="6175375" cy="485775"/>
              <wp:effectExtent l="0" t="0" r="0" b="0"/>
              <wp:wrapSquare wrapText="bothSides" distT="45720" distB="45720" distL="114300" distR="114300"/>
              <wp:docPr id="2037033422" name="Rectángulo 2037033422"/>
              <wp:cNvGraphicFramePr/>
              <a:graphic xmlns:a="http://schemas.openxmlformats.org/drawingml/2006/main">
                <a:graphicData uri="http://schemas.microsoft.com/office/word/2010/wordprocessingShape">
                  <wps:wsp>
                    <wps:cNvSpPr/>
                    <wps:spPr>
                      <a:xfrm>
                        <a:off x="2263075" y="3541875"/>
                        <a:ext cx="6165850" cy="476250"/>
                      </a:xfrm>
                      <a:prstGeom prst="rect">
                        <a:avLst/>
                      </a:prstGeom>
                      <a:solidFill>
                        <a:srgbClr val="FFFFFF"/>
                      </a:solidFill>
                      <a:ln>
                        <a:noFill/>
                      </a:ln>
                    </wps:spPr>
                    <wps:txbx>
                      <w:txbxContent>
                        <w:p w14:paraId="3445D0B8" w14:textId="77777777" w:rsidR="00346A97" w:rsidRDefault="00346A97">
                          <w:pPr>
                            <w:spacing w:line="275" w:lineRule="auto"/>
                            <w:jc w:val="both"/>
                            <w:textDirection w:val="btLr"/>
                          </w:pPr>
                          <w:r>
                            <w:rPr>
                              <w:rFonts w:ascii="Verdana" w:eastAsia="Verdana" w:hAnsi="Verdana" w:cs="Verdana"/>
                              <w:color w:val="000000"/>
                              <w:sz w:val="18"/>
                            </w:rPr>
                            <w:t>“Por la cual se reglamenta el Reporte Obligatorio de Emisiones de Gases de Efecto Invernadero (ROE) y se dictan otras disposiciones”.</w:t>
                          </w:r>
                        </w:p>
                      </w:txbxContent>
                    </wps:txbx>
                    <wps:bodyPr spcFirstLastPara="1" wrap="square" lIns="91425" tIns="45700" rIns="91425" bIns="45700" anchor="t" anchorCtr="0">
                      <a:noAutofit/>
                    </wps:bodyPr>
                  </wps:wsp>
                </a:graphicData>
              </a:graphic>
            </wp:anchor>
          </w:drawing>
        </mc:Choice>
        <mc:Fallback>
          <w:pict>
            <v:rect w14:anchorId="3445D0B4" id="Rectángulo 2037033422" o:spid="_x0000_s1026" style="position:absolute;margin-left:-17.15pt;margin-top:66.95pt;width:486.25pt;height:38.2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" stroked="f">
              <v:textbox inset="2.53958mm,1.2694mm,2.53958mm,1.2694mm">
                <w:txbxContent>
                  <w:p w14:paraId="3445D0B8" w14:textId="77777777" w:rsidR="00346A97" w:rsidRDefault="00346A97">
                    <w:pPr>
                      <w:spacing w:line="275" w:lineRule="auto"/>
                      <w:jc w:val="both"/>
                      <w:textDirection w:val="btLr"/>
                    </w:pPr>
                    <w:r>
                      <w:rPr>
                        <w:rFonts w:ascii="Verdana" w:eastAsia="Verdana" w:hAnsi="Verdana" w:cs="Verdana"/>
                        <w:color w:val="000000"/>
                        <w:sz w:val="18"/>
                      </w:rPr>
                      <w:t>“Por la cual se reglamenta el Reporte Obligatorio de Emisiones de Gases de Efecto Invernadero (ROE) y se dictan otras disposiciones”.</w:t>
                    </w:r>
                  </w:p>
                </w:txbxContent>
              </v:textbox>
              <w10:wrap type="squar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5D0AE" w14:textId="77777777" w:rsidR="00346A97" w:rsidRDefault="00346A97">
    <w:pPr>
      <w:pBdr>
        <w:top w:val="nil"/>
        <w:left w:val="nil"/>
        <w:bottom w:val="nil"/>
        <w:right w:val="nil"/>
        <w:between w:val="nil"/>
      </w:pBdr>
      <w:tabs>
        <w:tab w:val="center" w:pos="4419"/>
        <w:tab w:val="right" w:pos="8838"/>
      </w:tabs>
      <w:spacing w:after="0" w:line="240" w:lineRule="auto"/>
      <w:rPr>
        <w:color w:val="000000"/>
      </w:rPr>
    </w:pPr>
    <w:r>
      <w:rPr>
        <w:noProof/>
        <w:lang w:val="en-US" w:eastAsia="en-US"/>
      </w:rPr>
      <w:drawing>
        <wp:anchor distT="0" distB="0" distL="114300" distR="114300" simplePos="0" relativeHeight="251660288" behindDoc="0" locked="0" layoutInCell="1" hidden="0" allowOverlap="1" wp14:anchorId="3445D0B6" wp14:editId="3445D0B7">
          <wp:simplePos x="0" y="0"/>
          <wp:positionH relativeFrom="column">
            <wp:posOffset>-734059</wp:posOffset>
          </wp:positionH>
          <wp:positionV relativeFrom="paragraph">
            <wp:posOffset>-450214</wp:posOffset>
          </wp:positionV>
          <wp:extent cx="7120857" cy="11763375"/>
          <wp:effectExtent l="0" t="0" r="0" b="0"/>
          <wp:wrapNone/>
          <wp:docPr id="2037033427" name="image8.png" descr="Imagen que contiene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Imagen que contiene Rectángulo&#10;&#10;Descripción generada automáticamente"/>
                  <pic:cNvPicPr preferRelativeResize="0"/>
                </pic:nvPicPr>
                <pic:blipFill>
                  <a:blip r:embed="rId1"/>
                  <a:srcRect/>
                  <a:stretch>
                    <a:fillRect/>
                  </a:stretch>
                </pic:blipFill>
                <pic:spPr>
                  <a:xfrm>
                    <a:off x="0" y="0"/>
                    <a:ext cx="7120857" cy="117633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41EA9"/>
    <w:multiLevelType w:val="multilevel"/>
    <w:tmpl w:val="BC14BC7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9AF5C1F"/>
    <w:multiLevelType w:val="hybridMultilevel"/>
    <w:tmpl w:val="5992CDA8"/>
    <w:lvl w:ilvl="0" w:tplc="4646547A">
      <w:start w:val="1"/>
      <w:numFmt w:val="decimal"/>
      <w:lvlText w:val="%1."/>
      <w:lvlJc w:val="left"/>
      <w:pPr>
        <w:ind w:left="720" w:hanging="360"/>
      </w:pPr>
    </w:lvl>
    <w:lvl w:ilvl="1" w:tplc="3E641272">
      <w:start w:val="1"/>
      <w:numFmt w:val="lowerLetter"/>
      <w:lvlText w:val="%2."/>
      <w:lvlJc w:val="left"/>
      <w:pPr>
        <w:ind w:left="1440" w:hanging="360"/>
      </w:pPr>
    </w:lvl>
    <w:lvl w:ilvl="2" w:tplc="DD048408">
      <w:start w:val="1"/>
      <w:numFmt w:val="lowerRoman"/>
      <w:lvlText w:val="%3."/>
      <w:lvlJc w:val="right"/>
      <w:pPr>
        <w:ind w:left="2160" w:hanging="180"/>
      </w:pPr>
    </w:lvl>
    <w:lvl w:ilvl="3" w:tplc="BC18942A">
      <w:start w:val="1"/>
      <w:numFmt w:val="decimal"/>
      <w:lvlText w:val="%4."/>
      <w:lvlJc w:val="left"/>
      <w:pPr>
        <w:ind w:left="2880" w:hanging="360"/>
      </w:pPr>
    </w:lvl>
    <w:lvl w:ilvl="4" w:tplc="A8A2EC28">
      <w:start w:val="1"/>
      <w:numFmt w:val="lowerLetter"/>
      <w:lvlText w:val="%5."/>
      <w:lvlJc w:val="left"/>
      <w:pPr>
        <w:ind w:left="3600" w:hanging="360"/>
      </w:pPr>
    </w:lvl>
    <w:lvl w:ilvl="5" w:tplc="55CCE7A6">
      <w:start w:val="1"/>
      <w:numFmt w:val="lowerRoman"/>
      <w:lvlText w:val="%6."/>
      <w:lvlJc w:val="right"/>
      <w:pPr>
        <w:ind w:left="4320" w:hanging="180"/>
      </w:pPr>
    </w:lvl>
    <w:lvl w:ilvl="6" w:tplc="64C420C8">
      <w:start w:val="1"/>
      <w:numFmt w:val="decimal"/>
      <w:lvlText w:val="%7."/>
      <w:lvlJc w:val="left"/>
      <w:pPr>
        <w:ind w:left="5040" w:hanging="360"/>
      </w:pPr>
    </w:lvl>
    <w:lvl w:ilvl="7" w:tplc="E462465E">
      <w:start w:val="1"/>
      <w:numFmt w:val="lowerLetter"/>
      <w:lvlText w:val="%8."/>
      <w:lvlJc w:val="left"/>
      <w:pPr>
        <w:ind w:left="5760" w:hanging="360"/>
      </w:pPr>
    </w:lvl>
    <w:lvl w:ilvl="8" w:tplc="E2067D10">
      <w:start w:val="1"/>
      <w:numFmt w:val="lowerRoman"/>
      <w:lvlText w:val="%9."/>
      <w:lvlJc w:val="right"/>
      <w:pPr>
        <w:ind w:left="6480" w:hanging="180"/>
      </w:pPr>
    </w:lvl>
  </w:abstractNum>
  <w:abstractNum w:abstractNumId="2" w15:restartNumberingAfterBreak="0">
    <w:nsid w:val="0AB026FD"/>
    <w:multiLevelType w:val="multilevel"/>
    <w:tmpl w:val="EB7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466866"/>
    <w:multiLevelType w:val="multilevel"/>
    <w:tmpl w:val="CD805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743C1D"/>
    <w:multiLevelType w:val="multilevel"/>
    <w:tmpl w:val="B666E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53F10"/>
    <w:multiLevelType w:val="hybridMultilevel"/>
    <w:tmpl w:val="02F8290A"/>
    <w:lvl w:ilvl="0" w:tplc="CF00F2E0">
      <w:start w:val="1"/>
      <w:numFmt w:val="bullet"/>
      <w:lvlText w:val=""/>
      <w:lvlJc w:val="left"/>
      <w:pPr>
        <w:ind w:left="720" w:hanging="360"/>
      </w:pPr>
      <w:rPr>
        <w:rFonts w:ascii="Symbol" w:hAnsi="Symbol"/>
      </w:rPr>
    </w:lvl>
    <w:lvl w:ilvl="1" w:tplc="001806CA">
      <w:start w:val="1"/>
      <w:numFmt w:val="bullet"/>
      <w:lvlText w:val=""/>
      <w:lvlJc w:val="left"/>
      <w:pPr>
        <w:ind w:left="720" w:hanging="360"/>
      </w:pPr>
      <w:rPr>
        <w:rFonts w:ascii="Symbol" w:hAnsi="Symbol"/>
      </w:rPr>
    </w:lvl>
    <w:lvl w:ilvl="2" w:tplc="BF9C7356">
      <w:start w:val="1"/>
      <w:numFmt w:val="bullet"/>
      <w:lvlText w:val=""/>
      <w:lvlJc w:val="left"/>
      <w:pPr>
        <w:ind w:left="720" w:hanging="360"/>
      </w:pPr>
      <w:rPr>
        <w:rFonts w:ascii="Symbol" w:hAnsi="Symbol"/>
      </w:rPr>
    </w:lvl>
    <w:lvl w:ilvl="3" w:tplc="2FF650EA">
      <w:start w:val="1"/>
      <w:numFmt w:val="bullet"/>
      <w:lvlText w:val=""/>
      <w:lvlJc w:val="left"/>
      <w:pPr>
        <w:ind w:left="720" w:hanging="360"/>
      </w:pPr>
      <w:rPr>
        <w:rFonts w:ascii="Symbol" w:hAnsi="Symbol"/>
      </w:rPr>
    </w:lvl>
    <w:lvl w:ilvl="4" w:tplc="BA0CDBC6">
      <w:start w:val="1"/>
      <w:numFmt w:val="bullet"/>
      <w:lvlText w:val=""/>
      <w:lvlJc w:val="left"/>
      <w:pPr>
        <w:ind w:left="720" w:hanging="360"/>
      </w:pPr>
      <w:rPr>
        <w:rFonts w:ascii="Symbol" w:hAnsi="Symbol"/>
      </w:rPr>
    </w:lvl>
    <w:lvl w:ilvl="5" w:tplc="BE0A3808">
      <w:start w:val="1"/>
      <w:numFmt w:val="bullet"/>
      <w:lvlText w:val=""/>
      <w:lvlJc w:val="left"/>
      <w:pPr>
        <w:ind w:left="720" w:hanging="360"/>
      </w:pPr>
      <w:rPr>
        <w:rFonts w:ascii="Symbol" w:hAnsi="Symbol"/>
      </w:rPr>
    </w:lvl>
    <w:lvl w:ilvl="6" w:tplc="E214C4FE">
      <w:start w:val="1"/>
      <w:numFmt w:val="bullet"/>
      <w:lvlText w:val=""/>
      <w:lvlJc w:val="left"/>
      <w:pPr>
        <w:ind w:left="720" w:hanging="360"/>
      </w:pPr>
      <w:rPr>
        <w:rFonts w:ascii="Symbol" w:hAnsi="Symbol"/>
      </w:rPr>
    </w:lvl>
    <w:lvl w:ilvl="7" w:tplc="FD10D85A">
      <w:start w:val="1"/>
      <w:numFmt w:val="bullet"/>
      <w:lvlText w:val=""/>
      <w:lvlJc w:val="left"/>
      <w:pPr>
        <w:ind w:left="720" w:hanging="360"/>
      </w:pPr>
      <w:rPr>
        <w:rFonts w:ascii="Symbol" w:hAnsi="Symbol"/>
      </w:rPr>
    </w:lvl>
    <w:lvl w:ilvl="8" w:tplc="B3D2041A">
      <w:start w:val="1"/>
      <w:numFmt w:val="bullet"/>
      <w:lvlText w:val=""/>
      <w:lvlJc w:val="left"/>
      <w:pPr>
        <w:ind w:left="720" w:hanging="360"/>
      </w:pPr>
      <w:rPr>
        <w:rFonts w:ascii="Symbol" w:hAnsi="Symbol"/>
      </w:rPr>
    </w:lvl>
  </w:abstractNum>
  <w:abstractNum w:abstractNumId="6" w15:restartNumberingAfterBreak="0">
    <w:nsid w:val="15A03F3D"/>
    <w:multiLevelType w:val="multilevel"/>
    <w:tmpl w:val="8BD29C70"/>
    <w:lvl w:ilvl="0">
      <w:start w:val="1"/>
      <w:numFmt w:val="decimal"/>
      <w:lvlText w:val="%1."/>
      <w:lvlJc w:val="left"/>
      <w:pPr>
        <w:ind w:left="36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E114A4"/>
    <w:multiLevelType w:val="multilevel"/>
    <w:tmpl w:val="350432EC"/>
    <w:lvl w:ilvl="0">
      <w:start w:val="1"/>
      <w:numFmt w:val="decimal"/>
      <w:lvlText w:val="%1."/>
      <w:lvlJc w:val="left"/>
      <w:pPr>
        <w:ind w:left="360" w:hanging="360"/>
      </w:pPr>
    </w:lvl>
    <w:lvl w:ilvl="1">
      <w:start w:val="1"/>
      <w:numFmt w:val="bullet"/>
      <w:lvlText w:val="●"/>
      <w:lvlJc w:val="left"/>
      <w:pPr>
        <w:ind w:left="720" w:hanging="360"/>
      </w:pPr>
      <w:rPr>
        <w:rFonts w:ascii="Noto Sans Symbols" w:eastAsia="Noto Sans Symbols" w:hAnsi="Noto Sans Symbols" w:cs="Noto Sans Symbols"/>
      </w:rPr>
    </w:lvl>
    <w:lvl w:ilvl="2">
      <w:start w:val="1"/>
      <w:numFmt w:val="decimal"/>
      <w:lvlText w:val="%1.●.%3."/>
      <w:lvlJc w:val="left"/>
      <w:pPr>
        <w:ind w:left="1224" w:hanging="504"/>
      </w:pPr>
    </w:lvl>
    <w:lvl w:ilvl="3">
      <w:start w:val="1"/>
      <w:numFmt w:val="decimal"/>
      <w:lvlText w:val="%1.●.%3.%4."/>
      <w:lvlJc w:val="left"/>
      <w:pPr>
        <w:ind w:left="1728" w:hanging="647"/>
      </w:pPr>
    </w:lvl>
    <w:lvl w:ilvl="4">
      <w:start w:val="1"/>
      <w:numFmt w:val="decimal"/>
      <w:lvlText w:val="%1.●.%3.%4.%5."/>
      <w:lvlJc w:val="left"/>
      <w:pPr>
        <w:ind w:left="2232" w:hanging="792"/>
      </w:pPr>
    </w:lvl>
    <w:lvl w:ilvl="5">
      <w:start w:val="1"/>
      <w:numFmt w:val="decimal"/>
      <w:lvlText w:val="%1.●.%3.%4.%5.%6."/>
      <w:lvlJc w:val="left"/>
      <w:pPr>
        <w:ind w:left="2736" w:hanging="935"/>
      </w:pPr>
    </w:lvl>
    <w:lvl w:ilvl="6">
      <w:start w:val="1"/>
      <w:numFmt w:val="decimal"/>
      <w:lvlText w:val="%1.●.%3.%4.%5.%6.%7."/>
      <w:lvlJc w:val="left"/>
      <w:pPr>
        <w:ind w:left="3240" w:hanging="1080"/>
      </w:pPr>
    </w:lvl>
    <w:lvl w:ilvl="7">
      <w:start w:val="1"/>
      <w:numFmt w:val="decimal"/>
      <w:lvlText w:val="%1.●.%3.%4.%5.%6.%7.%8."/>
      <w:lvlJc w:val="left"/>
      <w:pPr>
        <w:ind w:left="3744" w:hanging="1224"/>
      </w:pPr>
    </w:lvl>
    <w:lvl w:ilvl="8">
      <w:start w:val="1"/>
      <w:numFmt w:val="decimal"/>
      <w:lvlText w:val="%1.●.%3.%4.%5.%6.%7.%8.%9."/>
      <w:lvlJc w:val="left"/>
      <w:pPr>
        <w:ind w:left="4320" w:hanging="1440"/>
      </w:pPr>
    </w:lvl>
  </w:abstractNum>
  <w:abstractNum w:abstractNumId="8" w15:restartNumberingAfterBreak="0">
    <w:nsid w:val="1FD2733F"/>
    <w:multiLevelType w:val="hybridMultilevel"/>
    <w:tmpl w:val="35D80632"/>
    <w:lvl w:ilvl="0" w:tplc="126AB0CA">
      <w:start w:val="1"/>
      <w:numFmt w:val="bullet"/>
      <w:lvlText w:val=""/>
      <w:lvlJc w:val="left"/>
      <w:pPr>
        <w:ind w:left="720" w:hanging="360"/>
      </w:pPr>
      <w:rPr>
        <w:rFonts w:ascii="Symbol" w:hAnsi="Symbol"/>
      </w:rPr>
    </w:lvl>
    <w:lvl w:ilvl="1" w:tplc="AD6E0106">
      <w:start w:val="1"/>
      <w:numFmt w:val="bullet"/>
      <w:lvlText w:val=""/>
      <w:lvlJc w:val="left"/>
      <w:pPr>
        <w:ind w:left="720" w:hanging="360"/>
      </w:pPr>
      <w:rPr>
        <w:rFonts w:ascii="Symbol" w:hAnsi="Symbol"/>
      </w:rPr>
    </w:lvl>
    <w:lvl w:ilvl="2" w:tplc="B0C4CD22">
      <w:start w:val="1"/>
      <w:numFmt w:val="bullet"/>
      <w:lvlText w:val=""/>
      <w:lvlJc w:val="left"/>
      <w:pPr>
        <w:ind w:left="720" w:hanging="360"/>
      </w:pPr>
      <w:rPr>
        <w:rFonts w:ascii="Symbol" w:hAnsi="Symbol"/>
      </w:rPr>
    </w:lvl>
    <w:lvl w:ilvl="3" w:tplc="38DCA70C">
      <w:start w:val="1"/>
      <w:numFmt w:val="bullet"/>
      <w:lvlText w:val=""/>
      <w:lvlJc w:val="left"/>
      <w:pPr>
        <w:ind w:left="720" w:hanging="360"/>
      </w:pPr>
      <w:rPr>
        <w:rFonts w:ascii="Symbol" w:hAnsi="Symbol"/>
      </w:rPr>
    </w:lvl>
    <w:lvl w:ilvl="4" w:tplc="1C763DBE">
      <w:start w:val="1"/>
      <w:numFmt w:val="bullet"/>
      <w:lvlText w:val=""/>
      <w:lvlJc w:val="left"/>
      <w:pPr>
        <w:ind w:left="720" w:hanging="360"/>
      </w:pPr>
      <w:rPr>
        <w:rFonts w:ascii="Symbol" w:hAnsi="Symbol"/>
      </w:rPr>
    </w:lvl>
    <w:lvl w:ilvl="5" w:tplc="017C751C">
      <w:start w:val="1"/>
      <w:numFmt w:val="bullet"/>
      <w:lvlText w:val=""/>
      <w:lvlJc w:val="left"/>
      <w:pPr>
        <w:ind w:left="720" w:hanging="360"/>
      </w:pPr>
      <w:rPr>
        <w:rFonts w:ascii="Symbol" w:hAnsi="Symbol"/>
      </w:rPr>
    </w:lvl>
    <w:lvl w:ilvl="6" w:tplc="3CB0983C">
      <w:start w:val="1"/>
      <w:numFmt w:val="bullet"/>
      <w:lvlText w:val=""/>
      <w:lvlJc w:val="left"/>
      <w:pPr>
        <w:ind w:left="720" w:hanging="360"/>
      </w:pPr>
      <w:rPr>
        <w:rFonts w:ascii="Symbol" w:hAnsi="Symbol"/>
      </w:rPr>
    </w:lvl>
    <w:lvl w:ilvl="7" w:tplc="D456896E">
      <w:start w:val="1"/>
      <w:numFmt w:val="bullet"/>
      <w:lvlText w:val=""/>
      <w:lvlJc w:val="left"/>
      <w:pPr>
        <w:ind w:left="720" w:hanging="360"/>
      </w:pPr>
      <w:rPr>
        <w:rFonts w:ascii="Symbol" w:hAnsi="Symbol"/>
      </w:rPr>
    </w:lvl>
    <w:lvl w:ilvl="8" w:tplc="A33E3246">
      <w:start w:val="1"/>
      <w:numFmt w:val="bullet"/>
      <w:lvlText w:val=""/>
      <w:lvlJc w:val="left"/>
      <w:pPr>
        <w:ind w:left="720" w:hanging="360"/>
      </w:pPr>
      <w:rPr>
        <w:rFonts w:ascii="Symbol" w:hAnsi="Symbol"/>
      </w:rPr>
    </w:lvl>
  </w:abstractNum>
  <w:abstractNum w:abstractNumId="9" w15:restartNumberingAfterBreak="0">
    <w:nsid w:val="21A86F1D"/>
    <w:multiLevelType w:val="multilevel"/>
    <w:tmpl w:val="F6CC9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3791446"/>
    <w:multiLevelType w:val="multilevel"/>
    <w:tmpl w:val="034861A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45037C5"/>
    <w:multiLevelType w:val="multilevel"/>
    <w:tmpl w:val="91481438"/>
    <w:lvl w:ilvl="0">
      <w:start w:val="1"/>
      <w:numFmt w:val="lowerLetter"/>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28FA397D"/>
    <w:multiLevelType w:val="multilevel"/>
    <w:tmpl w:val="5E0689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A1BF7DD"/>
    <w:multiLevelType w:val="hybridMultilevel"/>
    <w:tmpl w:val="2F30A0DE"/>
    <w:lvl w:ilvl="0" w:tplc="D5E67BEA">
      <w:start w:val="1"/>
      <w:numFmt w:val="decimal"/>
      <w:lvlText w:val="%1."/>
      <w:lvlJc w:val="left"/>
      <w:pPr>
        <w:ind w:left="720" w:hanging="360"/>
      </w:pPr>
    </w:lvl>
    <w:lvl w:ilvl="1" w:tplc="278CAEF2">
      <w:start w:val="1"/>
      <w:numFmt w:val="lowerLetter"/>
      <w:lvlText w:val="%2."/>
      <w:lvlJc w:val="left"/>
      <w:pPr>
        <w:ind w:left="1440" w:hanging="360"/>
      </w:pPr>
    </w:lvl>
    <w:lvl w:ilvl="2" w:tplc="081095EE">
      <w:start w:val="1"/>
      <w:numFmt w:val="lowerRoman"/>
      <w:lvlText w:val="%3."/>
      <w:lvlJc w:val="right"/>
      <w:pPr>
        <w:ind w:left="2160" w:hanging="180"/>
      </w:pPr>
    </w:lvl>
    <w:lvl w:ilvl="3" w:tplc="73E4630E">
      <w:start w:val="1"/>
      <w:numFmt w:val="decimal"/>
      <w:lvlText w:val="%4."/>
      <w:lvlJc w:val="left"/>
      <w:pPr>
        <w:ind w:left="2880" w:hanging="360"/>
      </w:pPr>
    </w:lvl>
    <w:lvl w:ilvl="4" w:tplc="9810257E">
      <w:start w:val="1"/>
      <w:numFmt w:val="lowerLetter"/>
      <w:lvlText w:val="%5."/>
      <w:lvlJc w:val="left"/>
      <w:pPr>
        <w:ind w:left="3600" w:hanging="360"/>
      </w:pPr>
    </w:lvl>
    <w:lvl w:ilvl="5" w:tplc="DD022BE2">
      <w:start w:val="1"/>
      <w:numFmt w:val="lowerRoman"/>
      <w:lvlText w:val="%6."/>
      <w:lvlJc w:val="right"/>
      <w:pPr>
        <w:ind w:left="4320" w:hanging="180"/>
      </w:pPr>
    </w:lvl>
    <w:lvl w:ilvl="6" w:tplc="E98C41A0">
      <w:start w:val="1"/>
      <w:numFmt w:val="decimal"/>
      <w:lvlText w:val="%7."/>
      <w:lvlJc w:val="left"/>
      <w:pPr>
        <w:ind w:left="5040" w:hanging="360"/>
      </w:pPr>
    </w:lvl>
    <w:lvl w:ilvl="7" w:tplc="26CA5F22">
      <w:start w:val="1"/>
      <w:numFmt w:val="lowerLetter"/>
      <w:lvlText w:val="%8."/>
      <w:lvlJc w:val="left"/>
      <w:pPr>
        <w:ind w:left="5760" w:hanging="360"/>
      </w:pPr>
    </w:lvl>
    <w:lvl w:ilvl="8" w:tplc="1004CD62">
      <w:start w:val="1"/>
      <w:numFmt w:val="lowerRoman"/>
      <w:lvlText w:val="%9."/>
      <w:lvlJc w:val="right"/>
      <w:pPr>
        <w:ind w:left="6480" w:hanging="180"/>
      </w:pPr>
    </w:lvl>
  </w:abstractNum>
  <w:abstractNum w:abstractNumId="14" w15:restartNumberingAfterBreak="0">
    <w:nsid w:val="3F770713"/>
    <w:multiLevelType w:val="multilevel"/>
    <w:tmpl w:val="30DE4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AE32000"/>
    <w:multiLevelType w:val="multilevel"/>
    <w:tmpl w:val="D200CD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3536EFB"/>
    <w:multiLevelType w:val="multilevel"/>
    <w:tmpl w:val="E36C4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887193F"/>
    <w:multiLevelType w:val="hybridMultilevel"/>
    <w:tmpl w:val="47946450"/>
    <w:lvl w:ilvl="0" w:tplc="ADC617E2">
      <w:start w:val="1"/>
      <w:numFmt w:val="decimal"/>
      <w:lvlText w:val="%1."/>
      <w:lvlJc w:val="left"/>
      <w:pPr>
        <w:ind w:left="720" w:hanging="360"/>
      </w:pPr>
    </w:lvl>
    <w:lvl w:ilvl="1" w:tplc="84B24416">
      <w:start w:val="1"/>
      <w:numFmt w:val="lowerLetter"/>
      <w:lvlText w:val="%2."/>
      <w:lvlJc w:val="left"/>
      <w:pPr>
        <w:ind w:left="1440" w:hanging="360"/>
      </w:pPr>
    </w:lvl>
    <w:lvl w:ilvl="2" w:tplc="4E4C26A2">
      <w:start w:val="1"/>
      <w:numFmt w:val="lowerRoman"/>
      <w:lvlText w:val="%3."/>
      <w:lvlJc w:val="right"/>
      <w:pPr>
        <w:ind w:left="2160" w:hanging="180"/>
      </w:pPr>
    </w:lvl>
    <w:lvl w:ilvl="3" w:tplc="67405D1C">
      <w:start w:val="1"/>
      <w:numFmt w:val="decimal"/>
      <w:lvlText w:val="%4."/>
      <w:lvlJc w:val="left"/>
      <w:pPr>
        <w:ind w:left="2880" w:hanging="360"/>
      </w:pPr>
    </w:lvl>
    <w:lvl w:ilvl="4" w:tplc="861C5B0A">
      <w:start w:val="1"/>
      <w:numFmt w:val="lowerLetter"/>
      <w:lvlText w:val="%5."/>
      <w:lvlJc w:val="left"/>
      <w:pPr>
        <w:ind w:left="3600" w:hanging="360"/>
      </w:pPr>
    </w:lvl>
    <w:lvl w:ilvl="5" w:tplc="19B8F060">
      <w:start w:val="1"/>
      <w:numFmt w:val="lowerRoman"/>
      <w:lvlText w:val="%6."/>
      <w:lvlJc w:val="right"/>
      <w:pPr>
        <w:ind w:left="4320" w:hanging="180"/>
      </w:pPr>
    </w:lvl>
    <w:lvl w:ilvl="6" w:tplc="24BEE3C4">
      <w:start w:val="1"/>
      <w:numFmt w:val="decimal"/>
      <w:lvlText w:val="%7."/>
      <w:lvlJc w:val="left"/>
      <w:pPr>
        <w:ind w:left="5040" w:hanging="360"/>
      </w:pPr>
    </w:lvl>
    <w:lvl w:ilvl="7" w:tplc="7C8C806C">
      <w:start w:val="1"/>
      <w:numFmt w:val="lowerLetter"/>
      <w:lvlText w:val="%8."/>
      <w:lvlJc w:val="left"/>
      <w:pPr>
        <w:ind w:left="5760" w:hanging="360"/>
      </w:pPr>
    </w:lvl>
    <w:lvl w:ilvl="8" w:tplc="4C9A24F8">
      <w:start w:val="1"/>
      <w:numFmt w:val="lowerRoman"/>
      <w:lvlText w:val="%9."/>
      <w:lvlJc w:val="right"/>
      <w:pPr>
        <w:ind w:left="6480" w:hanging="180"/>
      </w:pPr>
    </w:lvl>
  </w:abstractNum>
  <w:abstractNum w:abstractNumId="18" w15:restartNumberingAfterBreak="0">
    <w:nsid w:val="58CB24F8"/>
    <w:multiLevelType w:val="multilevel"/>
    <w:tmpl w:val="D486D83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58CB30F2"/>
    <w:multiLevelType w:val="hybridMultilevel"/>
    <w:tmpl w:val="F954A97A"/>
    <w:lvl w:ilvl="0" w:tplc="385CB338">
      <w:start w:val="1"/>
      <w:numFmt w:val="bullet"/>
      <w:lvlText w:val=""/>
      <w:lvlJc w:val="left"/>
      <w:pPr>
        <w:ind w:left="1080" w:hanging="360"/>
      </w:pPr>
      <w:rPr>
        <w:rFonts w:ascii="Symbol" w:hAnsi="Symbol"/>
      </w:rPr>
    </w:lvl>
    <w:lvl w:ilvl="1" w:tplc="16BEDA8C">
      <w:start w:val="1"/>
      <w:numFmt w:val="bullet"/>
      <w:lvlText w:val=""/>
      <w:lvlJc w:val="left"/>
      <w:pPr>
        <w:ind w:left="1080" w:hanging="360"/>
      </w:pPr>
      <w:rPr>
        <w:rFonts w:ascii="Symbol" w:hAnsi="Symbol"/>
      </w:rPr>
    </w:lvl>
    <w:lvl w:ilvl="2" w:tplc="C2A6D554">
      <w:start w:val="1"/>
      <w:numFmt w:val="bullet"/>
      <w:lvlText w:val=""/>
      <w:lvlJc w:val="left"/>
      <w:pPr>
        <w:ind w:left="1080" w:hanging="360"/>
      </w:pPr>
      <w:rPr>
        <w:rFonts w:ascii="Symbol" w:hAnsi="Symbol"/>
      </w:rPr>
    </w:lvl>
    <w:lvl w:ilvl="3" w:tplc="A636F56A">
      <w:start w:val="1"/>
      <w:numFmt w:val="bullet"/>
      <w:lvlText w:val=""/>
      <w:lvlJc w:val="left"/>
      <w:pPr>
        <w:ind w:left="1080" w:hanging="360"/>
      </w:pPr>
      <w:rPr>
        <w:rFonts w:ascii="Symbol" w:hAnsi="Symbol"/>
      </w:rPr>
    </w:lvl>
    <w:lvl w:ilvl="4" w:tplc="A058E090">
      <w:start w:val="1"/>
      <w:numFmt w:val="bullet"/>
      <w:lvlText w:val=""/>
      <w:lvlJc w:val="left"/>
      <w:pPr>
        <w:ind w:left="1080" w:hanging="360"/>
      </w:pPr>
      <w:rPr>
        <w:rFonts w:ascii="Symbol" w:hAnsi="Symbol"/>
      </w:rPr>
    </w:lvl>
    <w:lvl w:ilvl="5" w:tplc="98A46F56">
      <w:start w:val="1"/>
      <w:numFmt w:val="bullet"/>
      <w:lvlText w:val=""/>
      <w:lvlJc w:val="left"/>
      <w:pPr>
        <w:ind w:left="1080" w:hanging="360"/>
      </w:pPr>
      <w:rPr>
        <w:rFonts w:ascii="Symbol" w:hAnsi="Symbol"/>
      </w:rPr>
    </w:lvl>
    <w:lvl w:ilvl="6" w:tplc="C8AE61BA">
      <w:start w:val="1"/>
      <w:numFmt w:val="bullet"/>
      <w:lvlText w:val=""/>
      <w:lvlJc w:val="left"/>
      <w:pPr>
        <w:ind w:left="1080" w:hanging="360"/>
      </w:pPr>
      <w:rPr>
        <w:rFonts w:ascii="Symbol" w:hAnsi="Symbol"/>
      </w:rPr>
    </w:lvl>
    <w:lvl w:ilvl="7" w:tplc="AC7460B0">
      <w:start w:val="1"/>
      <w:numFmt w:val="bullet"/>
      <w:lvlText w:val=""/>
      <w:lvlJc w:val="left"/>
      <w:pPr>
        <w:ind w:left="1080" w:hanging="360"/>
      </w:pPr>
      <w:rPr>
        <w:rFonts w:ascii="Symbol" w:hAnsi="Symbol"/>
      </w:rPr>
    </w:lvl>
    <w:lvl w:ilvl="8" w:tplc="CCB84894">
      <w:start w:val="1"/>
      <w:numFmt w:val="bullet"/>
      <w:lvlText w:val=""/>
      <w:lvlJc w:val="left"/>
      <w:pPr>
        <w:ind w:left="1080" w:hanging="360"/>
      </w:pPr>
      <w:rPr>
        <w:rFonts w:ascii="Symbol" w:hAnsi="Symbol"/>
      </w:rPr>
    </w:lvl>
  </w:abstractNum>
  <w:abstractNum w:abstractNumId="20" w15:restartNumberingAfterBreak="0">
    <w:nsid w:val="64932A91"/>
    <w:multiLevelType w:val="hybridMultilevel"/>
    <w:tmpl w:val="5EB4AF5A"/>
    <w:lvl w:ilvl="0" w:tplc="942CF7DA">
      <w:start w:val="1"/>
      <w:numFmt w:val="bullet"/>
      <w:lvlText w:val=""/>
      <w:lvlJc w:val="left"/>
      <w:pPr>
        <w:ind w:left="720" w:hanging="360"/>
      </w:pPr>
      <w:rPr>
        <w:rFonts w:ascii="Symbol" w:hAnsi="Symbol"/>
      </w:rPr>
    </w:lvl>
    <w:lvl w:ilvl="1" w:tplc="F3A233D0">
      <w:start w:val="1"/>
      <w:numFmt w:val="bullet"/>
      <w:lvlText w:val=""/>
      <w:lvlJc w:val="left"/>
      <w:pPr>
        <w:ind w:left="720" w:hanging="360"/>
      </w:pPr>
      <w:rPr>
        <w:rFonts w:ascii="Symbol" w:hAnsi="Symbol"/>
      </w:rPr>
    </w:lvl>
    <w:lvl w:ilvl="2" w:tplc="312CBC26">
      <w:start w:val="1"/>
      <w:numFmt w:val="bullet"/>
      <w:lvlText w:val=""/>
      <w:lvlJc w:val="left"/>
      <w:pPr>
        <w:ind w:left="720" w:hanging="360"/>
      </w:pPr>
      <w:rPr>
        <w:rFonts w:ascii="Symbol" w:hAnsi="Symbol"/>
      </w:rPr>
    </w:lvl>
    <w:lvl w:ilvl="3" w:tplc="B2FCDAA4">
      <w:start w:val="1"/>
      <w:numFmt w:val="bullet"/>
      <w:lvlText w:val=""/>
      <w:lvlJc w:val="left"/>
      <w:pPr>
        <w:ind w:left="720" w:hanging="360"/>
      </w:pPr>
      <w:rPr>
        <w:rFonts w:ascii="Symbol" w:hAnsi="Symbol"/>
      </w:rPr>
    </w:lvl>
    <w:lvl w:ilvl="4" w:tplc="8884C8E8">
      <w:start w:val="1"/>
      <w:numFmt w:val="bullet"/>
      <w:lvlText w:val=""/>
      <w:lvlJc w:val="left"/>
      <w:pPr>
        <w:ind w:left="720" w:hanging="360"/>
      </w:pPr>
      <w:rPr>
        <w:rFonts w:ascii="Symbol" w:hAnsi="Symbol"/>
      </w:rPr>
    </w:lvl>
    <w:lvl w:ilvl="5" w:tplc="F87082D2">
      <w:start w:val="1"/>
      <w:numFmt w:val="bullet"/>
      <w:lvlText w:val=""/>
      <w:lvlJc w:val="left"/>
      <w:pPr>
        <w:ind w:left="720" w:hanging="360"/>
      </w:pPr>
      <w:rPr>
        <w:rFonts w:ascii="Symbol" w:hAnsi="Symbol"/>
      </w:rPr>
    </w:lvl>
    <w:lvl w:ilvl="6" w:tplc="1F904B74">
      <w:start w:val="1"/>
      <w:numFmt w:val="bullet"/>
      <w:lvlText w:val=""/>
      <w:lvlJc w:val="left"/>
      <w:pPr>
        <w:ind w:left="720" w:hanging="360"/>
      </w:pPr>
      <w:rPr>
        <w:rFonts w:ascii="Symbol" w:hAnsi="Symbol"/>
      </w:rPr>
    </w:lvl>
    <w:lvl w:ilvl="7" w:tplc="363C1C7A">
      <w:start w:val="1"/>
      <w:numFmt w:val="bullet"/>
      <w:lvlText w:val=""/>
      <w:lvlJc w:val="left"/>
      <w:pPr>
        <w:ind w:left="720" w:hanging="360"/>
      </w:pPr>
      <w:rPr>
        <w:rFonts w:ascii="Symbol" w:hAnsi="Symbol"/>
      </w:rPr>
    </w:lvl>
    <w:lvl w:ilvl="8" w:tplc="C20E1DF2">
      <w:start w:val="1"/>
      <w:numFmt w:val="bullet"/>
      <w:lvlText w:val=""/>
      <w:lvlJc w:val="left"/>
      <w:pPr>
        <w:ind w:left="720" w:hanging="360"/>
      </w:pPr>
      <w:rPr>
        <w:rFonts w:ascii="Symbol" w:hAnsi="Symbol"/>
      </w:rPr>
    </w:lvl>
  </w:abstractNum>
  <w:abstractNum w:abstractNumId="21" w15:restartNumberingAfterBreak="0">
    <w:nsid w:val="65286B38"/>
    <w:multiLevelType w:val="multilevel"/>
    <w:tmpl w:val="17B0046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A452640"/>
    <w:multiLevelType w:val="multilevel"/>
    <w:tmpl w:val="3D74D9C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2560CD2"/>
    <w:multiLevelType w:val="multilevel"/>
    <w:tmpl w:val="F6666708"/>
    <w:lvl w:ilvl="0">
      <w:start w:val="1"/>
      <w:numFmt w:val="bullet"/>
      <w:lvlText w:val="●"/>
      <w:lvlJc w:val="left"/>
      <w:pPr>
        <w:ind w:left="795" w:hanging="360"/>
      </w:pPr>
      <w:rPr>
        <w:rFonts w:ascii="Noto Sans Symbols" w:eastAsia="Noto Sans Symbols" w:hAnsi="Noto Sans Symbols" w:cs="Noto Sans Symbols"/>
      </w:rPr>
    </w:lvl>
    <w:lvl w:ilvl="1">
      <w:start w:val="1"/>
      <w:numFmt w:val="bullet"/>
      <w:lvlText w:val="o"/>
      <w:lvlJc w:val="left"/>
      <w:pPr>
        <w:ind w:left="1515" w:hanging="360"/>
      </w:pPr>
      <w:rPr>
        <w:rFonts w:ascii="Courier New" w:eastAsia="Courier New" w:hAnsi="Courier New" w:cs="Courier New"/>
      </w:rPr>
    </w:lvl>
    <w:lvl w:ilvl="2">
      <w:start w:val="1"/>
      <w:numFmt w:val="bullet"/>
      <w:lvlText w:val="▪"/>
      <w:lvlJc w:val="left"/>
      <w:pPr>
        <w:ind w:left="2235" w:hanging="360"/>
      </w:pPr>
      <w:rPr>
        <w:rFonts w:ascii="Noto Sans Symbols" w:eastAsia="Noto Sans Symbols" w:hAnsi="Noto Sans Symbols" w:cs="Noto Sans Symbols"/>
      </w:rPr>
    </w:lvl>
    <w:lvl w:ilvl="3">
      <w:start w:val="1"/>
      <w:numFmt w:val="bullet"/>
      <w:lvlText w:val="●"/>
      <w:lvlJc w:val="left"/>
      <w:pPr>
        <w:ind w:left="2955" w:hanging="360"/>
      </w:pPr>
      <w:rPr>
        <w:rFonts w:ascii="Noto Sans Symbols" w:eastAsia="Noto Sans Symbols" w:hAnsi="Noto Sans Symbols" w:cs="Noto Sans Symbols"/>
      </w:rPr>
    </w:lvl>
    <w:lvl w:ilvl="4">
      <w:start w:val="1"/>
      <w:numFmt w:val="bullet"/>
      <w:lvlText w:val="o"/>
      <w:lvlJc w:val="left"/>
      <w:pPr>
        <w:ind w:left="3675" w:hanging="360"/>
      </w:pPr>
      <w:rPr>
        <w:rFonts w:ascii="Courier New" w:eastAsia="Courier New" w:hAnsi="Courier New" w:cs="Courier New"/>
      </w:rPr>
    </w:lvl>
    <w:lvl w:ilvl="5">
      <w:start w:val="1"/>
      <w:numFmt w:val="bullet"/>
      <w:lvlText w:val="▪"/>
      <w:lvlJc w:val="left"/>
      <w:pPr>
        <w:ind w:left="4395" w:hanging="360"/>
      </w:pPr>
      <w:rPr>
        <w:rFonts w:ascii="Noto Sans Symbols" w:eastAsia="Noto Sans Symbols" w:hAnsi="Noto Sans Symbols" w:cs="Noto Sans Symbols"/>
      </w:rPr>
    </w:lvl>
    <w:lvl w:ilvl="6">
      <w:start w:val="1"/>
      <w:numFmt w:val="bullet"/>
      <w:lvlText w:val="●"/>
      <w:lvlJc w:val="left"/>
      <w:pPr>
        <w:ind w:left="5115" w:hanging="360"/>
      </w:pPr>
      <w:rPr>
        <w:rFonts w:ascii="Noto Sans Symbols" w:eastAsia="Noto Sans Symbols" w:hAnsi="Noto Sans Symbols" w:cs="Noto Sans Symbols"/>
      </w:rPr>
    </w:lvl>
    <w:lvl w:ilvl="7">
      <w:start w:val="1"/>
      <w:numFmt w:val="bullet"/>
      <w:lvlText w:val="o"/>
      <w:lvlJc w:val="left"/>
      <w:pPr>
        <w:ind w:left="5835" w:hanging="360"/>
      </w:pPr>
      <w:rPr>
        <w:rFonts w:ascii="Courier New" w:eastAsia="Courier New" w:hAnsi="Courier New" w:cs="Courier New"/>
      </w:rPr>
    </w:lvl>
    <w:lvl w:ilvl="8">
      <w:start w:val="1"/>
      <w:numFmt w:val="bullet"/>
      <w:lvlText w:val="▪"/>
      <w:lvlJc w:val="left"/>
      <w:pPr>
        <w:ind w:left="6555" w:hanging="360"/>
      </w:pPr>
      <w:rPr>
        <w:rFonts w:ascii="Noto Sans Symbols" w:eastAsia="Noto Sans Symbols" w:hAnsi="Noto Sans Symbols" w:cs="Noto Sans Symbols"/>
      </w:rPr>
    </w:lvl>
  </w:abstractNum>
  <w:abstractNum w:abstractNumId="24" w15:restartNumberingAfterBreak="0">
    <w:nsid w:val="752260F6"/>
    <w:multiLevelType w:val="multilevel"/>
    <w:tmpl w:val="2A10275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251543336">
    <w:abstractNumId w:val="24"/>
  </w:num>
  <w:num w:numId="2" w16cid:durableId="590048599">
    <w:abstractNumId w:val="15"/>
  </w:num>
  <w:num w:numId="3" w16cid:durableId="370545073">
    <w:abstractNumId w:val="12"/>
  </w:num>
  <w:num w:numId="4" w16cid:durableId="30957130">
    <w:abstractNumId w:val="11"/>
  </w:num>
  <w:num w:numId="5" w16cid:durableId="1663119691">
    <w:abstractNumId w:val="21"/>
  </w:num>
  <w:num w:numId="6" w16cid:durableId="322241158">
    <w:abstractNumId w:val="22"/>
  </w:num>
  <w:num w:numId="7" w16cid:durableId="76021896">
    <w:abstractNumId w:val="6"/>
  </w:num>
  <w:num w:numId="8" w16cid:durableId="353657507">
    <w:abstractNumId w:val="7"/>
  </w:num>
  <w:num w:numId="9" w16cid:durableId="1543904385">
    <w:abstractNumId w:val="23"/>
  </w:num>
  <w:num w:numId="10" w16cid:durableId="674578428">
    <w:abstractNumId w:val="10"/>
  </w:num>
  <w:num w:numId="11" w16cid:durableId="697043719">
    <w:abstractNumId w:val="18"/>
  </w:num>
  <w:num w:numId="12" w16cid:durableId="2020694096">
    <w:abstractNumId w:val="0"/>
  </w:num>
  <w:num w:numId="13" w16cid:durableId="1715303724">
    <w:abstractNumId w:val="3"/>
  </w:num>
  <w:num w:numId="14" w16cid:durableId="586959294">
    <w:abstractNumId w:val="20"/>
  </w:num>
  <w:num w:numId="15" w16cid:durableId="1479147970">
    <w:abstractNumId w:val="9"/>
  </w:num>
  <w:num w:numId="16" w16cid:durableId="840504230">
    <w:abstractNumId w:val="2"/>
  </w:num>
  <w:num w:numId="17" w16cid:durableId="1478497797">
    <w:abstractNumId w:val="14"/>
  </w:num>
  <w:num w:numId="18" w16cid:durableId="1675262593">
    <w:abstractNumId w:val="16"/>
  </w:num>
  <w:num w:numId="19" w16cid:durableId="15889340">
    <w:abstractNumId w:val="1"/>
  </w:num>
  <w:num w:numId="20" w16cid:durableId="1470437839">
    <w:abstractNumId w:val="17"/>
  </w:num>
  <w:num w:numId="21" w16cid:durableId="859321976">
    <w:abstractNumId w:val="13"/>
  </w:num>
  <w:num w:numId="22" w16cid:durableId="1164013270">
    <w:abstractNumId w:val="8"/>
  </w:num>
  <w:num w:numId="23" w16cid:durableId="351223590">
    <w:abstractNumId w:val="19"/>
  </w:num>
  <w:num w:numId="24" w16cid:durableId="894007515">
    <w:abstractNumId w:val="4"/>
  </w:num>
  <w:num w:numId="25" w16cid:durableId="12302681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508"/>
    <w:rsid w:val="000007ED"/>
    <w:rsid w:val="0000346E"/>
    <w:rsid w:val="00004D1C"/>
    <w:rsid w:val="00004DD2"/>
    <w:rsid w:val="00004DF5"/>
    <w:rsid w:val="00005C9F"/>
    <w:rsid w:val="00006ECE"/>
    <w:rsid w:val="00012817"/>
    <w:rsid w:val="0001289F"/>
    <w:rsid w:val="00013AC1"/>
    <w:rsid w:val="0001452F"/>
    <w:rsid w:val="00015741"/>
    <w:rsid w:val="000200A9"/>
    <w:rsid w:val="00023380"/>
    <w:rsid w:val="00023385"/>
    <w:rsid w:val="0002516B"/>
    <w:rsid w:val="00026D14"/>
    <w:rsid w:val="000302BF"/>
    <w:rsid w:val="00030D29"/>
    <w:rsid w:val="00031A9D"/>
    <w:rsid w:val="00033BF8"/>
    <w:rsid w:val="0003562D"/>
    <w:rsid w:val="000401E2"/>
    <w:rsid w:val="00045BD4"/>
    <w:rsid w:val="00046120"/>
    <w:rsid w:val="000511ED"/>
    <w:rsid w:val="00054150"/>
    <w:rsid w:val="000569AA"/>
    <w:rsid w:val="00056B5F"/>
    <w:rsid w:val="00060FE2"/>
    <w:rsid w:val="00062ECF"/>
    <w:rsid w:val="000662F7"/>
    <w:rsid w:val="000712CC"/>
    <w:rsid w:val="00073829"/>
    <w:rsid w:val="00073B8A"/>
    <w:rsid w:val="00074FD4"/>
    <w:rsid w:val="000776B3"/>
    <w:rsid w:val="000776CF"/>
    <w:rsid w:val="00084809"/>
    <w:rsid w:val="000904FD"/>
    <w:rsid w:val="00090593"/>
    <w:rsid w:val="00090F98"/>
    <w:rsid w:val="000972E8"/>
    <w:rsid w:val="000A3508"/>
    <w:rsid w:val="000A44DD"/>
    <w:rsid w:val="000A5CB9"/>
    <w:rsid w:val="000A7A0D"/>
    <w:rsid w:val="000B274D"/>
    <w:rsid w:val="000B58DE"/>
    <w:rsid w:val="000B6C8B"/>
    <w:rsid w:val="000B6E1E"/>
    <w:rsid w:val="000B73FA"/>
    <w:rsid w:val="000C084C"/>
    <w:rsid w:val="000C1655"/>
    <w:rsid w:val="000C31EA"/>
    <w:rsid w:val="000C32AA"/>
    <w:rsid w:val="000C3B60"/>
    <w:rsid w:val="000C4180"/>
    <w:rsid w:val="000D099D"/>
    <w:rsid w:val="000D0ECD"/>
    <w:rsid w:val="000D11DB"/>
    <w:rsid w:val="000D1D38"/>
    <w:rsid w:val="000D34BF"/>
    <w:rsid w:val="000D48EA"/>
    <w:rsid w:val="000D6789"/>
    <w:rsid w:val="000D68F3"/>
    <w:rsid w:val="000E0E53"/>
    <w:rsid w:val="000E2530"/>
    <w:rsid w:val="000E340D"/>
    <w:rsid w:val="000E4CB4"/>
    <w:rsid w:val="000F01ED"/>
    <w:rsid w:val="000F3A8D"/>
    <w:rsid w:val="001043C5"/>
    <w:rsid w:val="00106254"/>
    <w:rsid w:val="00110873"/>
    <w:rsid w:val="00114FAF"/>
    <w:rsid w:val="00117D2E"/>
    <w:rsid w:val="001235FF"/>
    <w:rsid w:val="00124879"/>
    <w:rsid w:val="001252E8"/>
    <w:rsid w:val="001309E3"/>
    <w:rsid w:val="00131D92"/>
    <w:rsid w:val="001325DC"/>
    <w:rsid w:val="00133009"/>
    <w:rsid w:val="00136274"/>
    <w:rsid w:val="001372E2"/>
    <w:rsid w:val="00144389"/>
    <w:rsid w:val="00144AB8"/>
    <w:rsid w:val="001463FF"/>
    <w:rsid w:val="00147A83"/>
    <w:rsid w:val="00150437"/>
    <w:rsid w:val="0015229D"/>
    <w:rsid w:val="00155038"/>
    <w:rsid w:val="0015708F"/>
    <w:rsid w:val="00166DD5"/>
    <w:rsid w:val="00167A14"/>
    <w:rsid w:val="001733F2"/>
    <w:rsid w:val="00175135"/>
    <w:rsid w:val="001761E4"/>
    <w:rsid w:val="001775BF"/>
    <w:rsid w:val="00177777"/>
    <w:rsid w:val="0017777D"/>
    <w:rsid w:val="00184A6F"/>
    <w:rsid w:val="0018782B"/>
    <w:rsid w:val="00190255"/>
    <w:rsid w:val="00190476"/>
    <w:rsid w:val="00190DC9"/>
    <w:rsid w:val="001912A8"/>
    <w:rsid w:val="00191C12"/>
    <w:rsid w:val="001956CC"/>
    <w:rsid w:val="001A066E"/>
    <w:rsid w:val="001A11E6"/>
    <w:rsid w:val="001A1E61"/>
    <w:rsid w:val="001A3642"/>
    <w:rsid w:val="001A38F6"/>
    <w:rsid w:val="001A5C35"/>
    <w:rsid w:val="001A6BF1"/>
    <w:rsid w:val="001B10C4"/>
    <w:rsid w:val="001B2BAE"/>
    <w:rsid w:val="001B4169"/>
    <w:rsid w:val="001C2612"/>
    <w:rsid w:val="001C4E25"/>
    <w:rsid w:val="001D0171"/>
    <w:rsid w:val="001D15BC"/>
    <w:rsid w:val="001D219E"/>
    <w:rsid w:val="001D349E"/>
    <w:rsid w:val="001D4D8F"/>
    <w:rsid w:val="001D6025"/>
    <w:rsid w:val="001D7A61"/>
    <w:rsid w:val="001E5B78"/>
    <w:rsid w:val="001E6C3D"/>
    <w:rsid w:val="001F5501"/>
    <w:rsid w:val="002001CD"/>
    <w:rsid w:val="00200F06"/>
    <w:rsid w:val="00211544"/>
    <w:rsid w:val="00211735"/>
    <w:rsid w:val="00211A45"/>
    <w:rsid w:val="002125A4"/>
    <w:rsid w:val="00212BF4"/>
    <w:rsid w:val="0021412A"/>
    <w:rsid w:val="00216D18"/>
    <w:rsid w:val="0021720C"/>
    <w:rsid w:val="00220A9A"/>
    <w:rsid w:val="00224C29"/>
    <w:rsid w:val="00227986"/>
    <w:rsid w:val="00230E25"/>
    <w:rsid w:val="0023687D"/>
    <w:rsid w:val="00241A80"/>
    <w:rsid w:val="00244AFD"/>
    <w:rsid w:val="00245390"/>
    <w:rsid w:val="00247565"/>
    <w:rsid w:val="002602F6"/>
    <w:rsid w:val="00262DB1"/>
    <w:rsid w:val="00263D90"/>
    <w:rsid w:val="00265F2D"/>
    <w:rsid w:val="0026663F"/>
    <w:rsid w:val="00270D16"/>
    <w:rsid w:val="002714D5"/>
    <w:rsid w:val="002732C1"/>
    <w:rsid w:val="0027335F"/>
    <w:rsid w:val="00276922"/>
    <w:rsid w:val="002769DC"/>
    <w:rsid w:val="00276D13"/>
    <w:rsid w:val="002776CC"/>
    <w:rsid w:val="00282263"/>
    <w:rsid w:val="00284FE5"/>
    <w:rsid w:val="0029031E"/>
    <w:rsid w:val="00296264"/>
    <w:rsid w:val="002A2A5E"/>
    <w:rsid w:val="002A516E"/>
    <w:rsid w:val="002B0834"/>
    <w:rsid w:val="002B20BD"/>
    <w:rsid w:val="002B3E53"/>
    <w:rsid w:val="002B441D"/>
    <w:rsid w:val="002B4D5C"/>
    <w:rsid w:val="002C08A3"/>
    <w:rsid w:val="002C0FC5"/>
    <w:rsid w:val="002C1710"/>
    <w:rsid w:val="002C2147"/>
    <w:rsid w:val="002D17D2"/>
    <w:rsid w:val="002D24A4"/>
    <w:rsid w:val="002D3412"/>
    <w:rsid w:val="002D37A5"/>
    <w:rsid w:val="002D5012"/>
    <w:rsid w:val="002E1751"/>
    <w:rsid w:val="002E4E10"/>
    <w:rsid w:val="002F27C1"/>
    <w:rsid w:val="002F2A62"/>
    <w:rsid w:val="002F4CCF"/>
    <w:rsid w:val="002F5A56"/>
    <w:rsid w:val="002F63DD"/>
    <w:rsid w:val="00301A61"/>
    <w:rsid w:val="0030276E"/>
    <w:rsid w:val="003032E8"/>
    <w:rsid w:val="00303F08"/>
    <w:rsid w:val="003040B8"/>
    <w:rsid w:val="003049CD"/>
    <w:rsid w:val="00311138"/>
    <w:rsid w:val="003166BF"/>
    <w:rsid w:val="003212A3"/>
    <w:rsid w:val="0032326F"/>
    <w:rsid w:val="00323CB6"/>
    <w:rsid w:val="00332999"/>
    <w:rsid w:val="003343D4"/>
    <w:rsid w:val="00336EC3"/>
    <w:rsid w:val="00336FEE"/>
    <w:rsid w:val="00342F28"/>
    <w:rsid w:val="00344472"/>
    <w:rsid w:val="00346A8F"/>
    <w:rsid w:val="00346A97"/>
    <w:rsid w:val="00346D70"/>
    <w:rsid w:val="003479CE"/>
    <w:rsid w:val="00350C9B"/>
    <w:rsid w:val="00356BDD"/>
    <w:rsid w:val="003628CA"/>
    <w:rsid w:val="003638DB"/>
    <w:rsid w:val="003644C9"/>
    <w:rsid w:val="00364DA9"/>
    <w:rsid w:val="003671E2"/>
    <w:rsid w:val="0037305D"/>
    <w:rsid w:val="003748DE"/>
    <w:rsid w:val="0037626D"/>
    <w:rsid w:val="00381BA2"/>
    <w:rsid w:val="00384880"/>
    <w:rsid w:val="00390CE8"/>
    <w:rsid w:val="003926D2"/>
    <w:rsid w:val="0039339A"/>
    <w:rsid w:val="003953CB"/>
    <w:rsid w:val="003A26D4"/>
    <w:rsid w:val="003A37B0"/>
    <w:rsid w:val="003A762C"/>
    <w:rsid w:val="003B084C"/>
    <w:rsid w:val="003B4763"/>
    <w:rsid w:val="003B4BE7"/>
    <w:rsid w:val="003C2B88"/>
    <w:rsid w:val="003C3E6E"/>
    <w:rsid w:val="003C7EA0"/>
    <w:rsid w:val="003D2B5D"/>
    <w:rsid w:val="003D3B95"/>
    <w:rsid w:val="003D59FD"/>
    <w:rsid w:val="003D61CF"/>
    <w:rsid w:val="003E28D6"/>
    <w:rsid w:val="003E2992"/>
    <w:rsid w:val="003E3DB1"/>
    <w:rsid w:val="003E4E9D"/>
    <w:rsid w:val="003F0024"/>
    <w:rsid w:val="003F6D4E"/>
    <w:rsid w:val="003F6DFD"/>
    <w:rsid w:val="00407EB0"/>
    <w:rsid w:val="0041735C"/>
    <w:rsid w:val="004227E7"/>
    <w:rsid w:val="00424C69"/>
    <w:rsid w:val="00425121"/>
    <w:rsid w:val="00426BBA"/>
    <w:rsid w:val="004357F9"/>
    <w:rsid w:val="0043617D"/>
    <w:rsid w:val="004469B1"/>
    <w:rsid w:val="00447322"/>
    <w:rsid w:val="0045302C"/>
    <w:rsid w:val="00456122"/>
    <w:rsid w:val="00456FC3"/>
    <w:rsid w:val="0046028B"/>
    <w:rsid w:val="0046068E"/>
    <w:rsid w:val="00461EEB"/>
    <w:rsid w:val="004640C8"/>
    <w:rsid w:val="00470B40"/>
    <w:rsid w:val="0047726A"/>
    <w:rsid w:val="004772C7"/>
    <w:rsid w:val="00477C8B"/>
    <w:rsid w:val="00480411"/>
    <w:rsid w:val="00480A5C"/>
    <w:rsid w:val="00483AD8"/>
    <w:rsid w:val="00484AD9"/>
    <w:rsid w:val="00487C9F"/>
    <w:rsid w:val="0049705C"/>
    <w:rsid w:val="004970DB"/>
    <w:rsid w:val="004A15CC"/>
    <w:rsid w:val="004A16D9"/>
    <w:rsid w:val="004A1E3B"/>
    <w:rsid w:val="004A1FE1"/>
    <w:rsid w:val="004A3B5F"/>
    <w:rsid w:val="004A3E04"/>
    <w:rsid w:val="004A4223"/>
    <w:rsid w:val="004A453E"/>
    <w:rsid w:val="004A78B4"/>
    <w:rsid w:val="004B7929"/>
    <w:rsid w:val="004C1811"/>
    <w:rsid w:val="004C24D4"/>
    <w:rsid w:val="004C2B32"/>
    <w:rsid w:val="004C5AF7"/>
    <w:rsid w:val="004D07FE"/>
    <w:rsid w:val="004D2095"/>
    <w:rsid w:val="004D2935"/>
    <w:rsid w:val="004D3D25"/>
    <w:rsid w:val="004D715A"/>
    <w:rsid w:val="004E28A6"/>
    <w:rsid w:val="004E3878"/>
    <w:rsid w:val="004E488A"/>
    <w:rsid w:val="004F2549"/>
    <w:rsid w:val="004F7EF5"/>
    <w:rsid w:val="004F7F3E"/>
    <w:rsid w:val="004F7F5E"/>
    <w:rsid w:val="00505272"/>
    <w:rsid w:val="00506C7C"/>
    <w:rsid w:val="0050743D"/>
    <w:rsid w:val="00507970"/>
    <w:rsid w:val="0051003B"/>
    <w:rsid w:val="00510116"/>
    <w:rsid w:val="005236D5"/>
    <w:rsid w:val="005267DB"/>
    <w:rsid w:val="00527CD8"/>
    <w:rsid w:val="0053005E"/>
    <w:rsid w:val="00530F5E"/>
    <w:rsid w:val="005343A0"/>
    <w:rsid w:val="0053445A"/>
    <w:rsid w:val="005400E4"/>
    <w:rsid w:val="005415C9"/>
    <w:rsid w:val="005416E4"/>
    <w:rsid w:val="00542726"/>
    <w:rsid w:val="00545F93"/>
    <w:rsid w:val="00547BA0"/>
    <w:rsid w:val="00564F15"/>
    <w:rsid w:val="005718D4"/>
    <w:rsid w:val="00572AD2"/>
    <w:rsid w:val="00574F8B"/>
    <w:rsid w:val="00574FC0"/>
    <w:rsid w:val="005761EC"/>
    <w:rsid w:val="00577F76"/>
    <w:rsid w:val="0058331B"/>
    <w:rsid w:val="00586BD0"/>
    <w:rsid w:val="005911AE"/>
    <w:rsid w:val="005933A6"/>
    <w:rsid w:val="005967C1"/>
    <w:rsid w:val="005A311E"/>
    <w:rsid w:val="005B142D"/>
    <w:rsid w:val="005B18D9"/>
    <w:rsid w:val="005B4537"/>
    <w:rsid w:val="005B541F"/>
    <w:rsid w:val="005B58A5"/>
    <w:rsid w:val="005B5BEB"/>
    <w:rsid w:val="005C1C60"/>
    <w:rsid w:val="005C282A"/>
    <w:rsid w:val="005C63D7"/>
    <w:rsid w:val="005C6B10"/>
    <w:rsid w:val="005D19A9"/>
    <w:rsid w:val="005D1BD1"/>
    <w:rsid w:val="005D1F41"/>
    <w:rsid w:val="005D2005"/>
    <w:rsid w:val="005D5385"/>
    <w:rsid w:val="005D7640"/>
    <w:rsid w:val="005E1754"/>
    <w:rsid w:val="005E19FC"/>
    <w:rsid w:val="005E55AD"/>
    <w:rsid w:val="005E5CCE"/>
    <w:rsid w:val="005F119D"/>
    <w:rsid w:val="005F2166"/>
    <w:rsid w:val="005F3B5F"/>
    <w:rsid w:val="005F48B2"/>
    <w:rsid w:val="005F4C4E"/>
    <w:rsid w:val="0060313A"/>
    <w:rsid w:val="00606049"/>
    <w:rsid w:val="006104DB"/>
    <w:rsid w:val="00610AC6"/>
    <w:rsid w:val="006160C2"/>
    <w:rsid w:val="006170D4"/>
    <w:rsid w:val="00617C84"/>
    <w:rsid w:val="006221B1"/>
    <w:rsid w:val="00622373"/>
    <w:rsid w:val="00626A02"/>
    <w:rsid w:val="00630CB8"/>
    <w:rsid w:val="006315FB"/>
    <w:rsid w:val="00631B4D"/>
    <w:rsid w:val="0063238E"/>
    <w:rsid w:val="006370DD"/>
    <w:rsid w:val="00637139"/>
    <w:rsid w:val="00640E6E"/>
    <w:rsid w:val="00643881"/>
    <w:rsid w:val="0064622D"/>
    <w:rsid w:val="00655302"/>
    <w:rsid w:val="0066133F"/>
    <w:rsid w:val="0066152D"/>
    <w:rsid w:val="00662199"/>
    <w:rsid w:val="006628E4"/>
    <w:rsid w:val="0066500E"/>
    <w:rsid w:val="0066524E"/>
    <w:rsid w:val="00666472"/>
    <w:rsid w:val="0066723E"/>
    <w:rsid w:val="0067103F"/>
    <w:rsid w:val="00672F04"/>
    <w:rsid w:val="00673981"/>
    <w:rsid w:val="00674949"/>
    <w:rsid w:val="00675507"/>
    <w:rsid w:val="0067573C"/>
    <w:rsid w:val="00676022"/>
    <w:rsid w:val="00677C2E"/>
    <w:rsid w:val="00680564"/>
    <w:rsid w:val="00682A83"/>
    <w:rsid w:val="0068317D"/>
    <w:rsid w:val="00686260"/>
    <w:rsid w:val="006928CE"/>
    <w:rsid w:val="00693105"/>
    <w:rsid w:val="0069431F"/>
    <w:rsid w:val="00694EBD"/>
    <w:rsid w:val="00695C54"/>
    <w:rsid w:val="00695F1D"/>
    <w:rsid w:val="00696BB0"/>
    <w:rsid w:val="00697269"/>
    <w:rsid w:val="006A0471"/>
    <w:rsid w:val="006A4FDC"/>
    <w:rsid w:val="006A5EFF"/>
    <w:rsid w:val="006B2D6F"/>
    <w:rsid w:val="006B33D3"/>
    <w:rsid w:val="006B58BD"/>
    <w:rsid w:val="006C0003"/>
    <w:rsid w:val="006D0FFF"/>
    <w:rsid w:val="006D24A0"/>
    <w:rsid w:val="006D3171"/>
    <w:rsid w:val="006D66B3"/>
    <w:rsid w:val="006E1BAC"/>
    <w:rsid w:val="006E1FA3"/>
    <w:rsid w:val="006F2E83"/>
    <w:rsid w:val="006F7DF4"/>
    <w:rsid w:val="00700A35"/>
    <w:rsid w:val="00700C55"/>
    <w:rsid w:val="007013A5"/>
    <w:rsid w:val="0070379F"/>
    <w:rsid w:val="007044BD"/>
    <w:rsid w:val="00711966"/>
    <w:rsid w:val="007137EF"/>
    <w:rsid w:val="00715A0A"/>
    <w:rsid w:val="0071635B"/>
    <w:rsid w:val="0071762D"/>
    <w:rsid w:val="007208FF"/>
    <w:rsid w:val="0072358F"/>
    <w:rsid w:val="00727BE6"/>
    <w:rsid w:val="007309EE"/>
    <w:rsid w:val="00732C79"/>
    <w:rsid w:val="00732FCC"/>
    <w:rsid w:val="00735F4C"/>
    <w:rsid w:val="00736206"/>
    <w:rsid w:val="00742483"/>
    <w:rsid w:val="00744342"/>
    <w:rsid w:val="0074693B"/>
    <w:rsid w:val="00746F9B"/>
    <w:rsid w:val="00747933"/>
    <w:rsid w:val="00750358"/>
    <w:rsid w:val="007532C2"/>
    <w:rsid w:val="00753F43"/>
    <w:rsid w:val="00754AA6"/>
    <w:rsid w:val="0075611D"/>
    <w:rsid w:val="007578D0"/>
    <w:rsid w:val="00760C15"/>
    <w:rsid w:val="00760D05"/>
    <w:rsid w:val="00761CD6"/>
    <w:rsid w:val="0076273D"/>
    <w:rsid w:val="00762EAD"/>
    <w:rsid w:val="00763138"/>
    <w:rsid w:val="00765E52"/>
    <w:rsid w:val="00767E7A"/>
    <w:rsid w:val="00774EE5"/>
    <w:rsid w:val="007830CE"/>
    <w:rsid w:val="00784733"/>
    <w:rsid w:val="00785D21"/>
    <w:rsid w:val="00786E3A"/>
    <w:rsid w:val="007918F8"/>
    <w:rsid w:val="00792F21"/>
    <w:rsid w:val="007944F5"/>
    <w:rsid w:val="00797C37"/>
    <w:rsid w:val="007A0A79"/>
    <w:rsid w:val="007A1A00"/>
    <w:rsid w:val="007A61B8"/>
    <w:rsid w:val="007B149C"/>
    <w:rsid w:val="007B3548"/>
    <w:rsid w:val="007B39A6"/>
    <w:rsid w:val="007B7159"/>
    <w:rsid w:val="007B72F8"/>
    <w:rsid w:val="007B7E9B"/>
    <w:rsid w:val="007C0BE3"/>
    <w:rsid w:val="007C3D14"/>
    <w:rsid w:val="007C4017"/>
    <w:rsid w:val="007C594D"/>
    <w:rsid w:val="007C6D69"/>
    <w:rsid w:val="007C7A85"/>
    <w:rsid w:val="007D3A41"/>
    <w:rsid w:val="007D3F0D"/>
    <w:rsid w:val="007D46AA"/>
    <w:rsid w:val="007E58EF"/>
    <w:rsid w:val="007E624D"/>
    <w:rsid w:val="007F070C"/>
    <w:rsid w:val="007F5E70"/>
    <w:rsid w:val="007F6F03"/>
    <w:rsid w:val="0080188C"/>
    <w:rsid w:val="00802576"/>
    <w:rsid w:val="00805A27"/>
    <w:rsid w:val="0080663A"/>
    <w:rsid w:val="008125FA"/>
    <w:rsid w:val="00814ABB"/>
    <w:rsid w:val="00814CC6"/>
    <w:rsid w:val="0081578B"/>
    <w:rsid w:val="00820BF4"/>
    <w:rsid w:val="00820E97"/>
    <w:rsid w:val="00822E18"/>
    <w:rsid w:val="00824E61"/>
    <w:rsid w:val="008256D9"/>
    <w:rsid w:val="00830135"/>
    <w:rsid w:val="00832F97"/>
    <w:rsid w:val="008344FB"/>
    <w:rsid w:val="00840303"/>
    <w:rsid w:val="00846717"/>
    <w:rsid w:val="00851E54"/>
    <w:rsid w:val="00852EC7"/>
    <w:rsid w:val="00852FC5"/>
    <w:rsid w:val="008532C6"/>
    <w:rsid w:val="00854F02"/>
    <w:rsid w:val="00855572"/>
    <w:rsid w:val="00856C13"/>
    <w:rsid w:val="00856CB9"/>
    <w:rsid w:val="0086344A"/>
    <w:rsid w:val="00864091"/>
    <w:rsid w:val="008644BD"/>
    <w:rsid w:val="00865E8E"/>
    <w:rsid w:val="0086775D"/>
    <w:rsid w:val="00867EA4"/>
    <w:rsid w:val="00867EEE"/>
    <w:rsid w:val="00871ED9"/>
    <w:rsid w:val="0087356A"/>
    <w:rsid w:val="00875E17"/>
    <w:rsid w:val="0087623D"/>
    <w:rsid w:val="00880DC3"/>
    <w:rsid w:val="008819B7"/>
    <w:rsid w:val="00884036"/>
    <w:rsid w:val="008842D9"/>
    <w:rsid w:val="0088441A"/>
    <w:rsid w:val="0088754A"/>
    <w:rsid w:val="00890365"/>
    <w:rsid w:val="00892D88"/>
    <w:rsid w:val="00894181"/>
    <w:rsid w:val="00894397"/>
    <w:rsid w:val="008A0F46"/>
    <w:rsid w:val="008A391E"/>
    <w:rsid w:val="008B0970"/>
    <w:rsid w:val="008B5D5D"/>
    <w:rsid w:val="008C0BB7"/>
    <w:rsid w:val="008C0E25"/>
    <w:rsid w:val="008C4B9F"/>
    <w:rsid w:val="008C56F1"/>
    <w:rsid w:val="008D0680"/>
    <w:rsid w:val="008D6A31"/>
    <w:rsid w:val="008D6D28"/>
    <w:rsid w:val="008D72DE"/>
    <w:rsid w:val="008E0A86"/>
    <w:rsid w:val="008E1009"/>
    <w:rsid w:val="008E2A05"/>
    <w:rsid w:val="008E2F5B"/>
    <w:rsid w:val="008E7456"/>
    <w:rsid w:val="008E7B91"/>
    <w:rsid w:val="008F1AC8"/>
    <w:rsid w:val="008F2F80"/>
    <w:rsid w:val="008F3A1C"/>
    <w:rsid w:val="008F44A9"/>
    <w:rsid w:val="008F4D19"/>
    <w:rsid w:val="008F66E7"/>
    <w:rsid w:val="009015B4"/>
    <w:rsid w:val="00902E31"/>
    <w:rsid w:val="009061CD"/>
    <w:rsid w:val="009074F5"/>
    <w:rsid w:val="00907F4D"/>
    <w:rsid w:val="009109D9"/>
    <w:rsid w:val="00910C00"/>
    <w:rsid w:val="00912842"/>
    <w:rsid w:val="009140A4"/>
    <w:rsid w:val="00917BA8"/>
    <w:rsid w:val="009207C8"/>
    <w:rsid w:val="00922179"/>
    <w:rsid w:val="009231F6"/>
    <w:rsid w:val="00923616"/>
    <w:rsid w:val="00924799"/>
    <w:rsid w:val="009305F4"/>
    <w:rsid w:val="0093448A"/>
    <w:rsid w:val="009357FE"/>
    <w:rsid w:val="00942438"/>
    <w:rsid w:val="00942B4E"/>
    <w:rsid w:val="009431C8"/>
    <w:rsid w:val="00945049"/>
    <w:rsid w:val="00947895"/>
    <w:rsid w:val="00950624"/>
    <w:rsid w:val="00952EF0"/>
    <w:rsid w:val="00953BFD"/>
    <w:rsid w:val="009560CC"/>
    <w:rsid w:val="00956B2D"/>
    <w:rsid w:val="0096513C"/>
    <w:rsid w:val="0096544F"/>
    <w:rsid w:val="00975252"/>
    <w:rsid w:val="00975F96"/>
    <w:rsid w:val="00976CD1"/>
    <w:rsid w:val="0098123E"/>
    <w:rsid w:val="0098327A"/>
    <w:rsid w:val="0098629F"/>
    <w:rsid w:val="00987F6F"/>
    <w:rsid w:val="00990796"/>
    <w:rsid w:val="00994C08"/>
    <w:rsid w:val="00995119"/>
    <w:rsid w:val="0099694F"/>
    <w:rsid w:val="009A2128"/>
    <w:rsid w:val="009A29D7"/>
    <w:rsid w:val="009A4DA5"/>
    <w:rsid w:val="009A67CE"/>
    <w:rsid w:val="009A77A3"/>
    <w:rsid w:val="009B1C26"/>
    <w:rsid w:val="009B3B15"/>
    <w:rsid w:val="009B3D90"/>
    <w:rsid w:val="009B7A9E"/>
    <w:rsid w:val="009C085A"/>
    <w:rsid w:val="009D12A1"/>
    <w:rsid w:val="009D2D4E"/>
    <w:rsid w:val="009D3633"/>
    <w:rsid w:val="009D6371"/>
    <w:rsid w:val="009E28D0"/>
    <w:rsid w:val="009E3EB6"/>
    <w:rsid w:val="009E6F4E"/>
    <w:rsid w:val="009F0CC0"/>
    <w:rsid w:val="009F2464"/>
    <w:rsid w:val="00A02115"/>
    <w:rsid w:val="00A03DD7"/>
    <w:rsid w:val="00A06F46"/>
    <w:rsid w:val="00A11E63"/>
    <w:rsid w:val="00A11EA6"/>
    <w:rsid w:val="00A148C4"/>
    <w:rsid w:val="00A21036"/>
    <w:rsid w:val="00A22463"/>
    <w:rsid w:val="00A250AF"/>
    <w:rsid w:val="00A25AF3"/>
    <w:rsid w:val="00A30CF0"/>
    <w:rsid w:val="00A311A1"/>
    <w:rsid w:val="00A31EE3"/>
    <w:rsid w:val="00A3253B"/>
    <w:rsid w:val="00A329BB"/>
    <w:rsid w:val="00A32F9E"/>
    <w:rsid w:val="00A335E2"/>
    <w:rsid w:val="00A33745"/>
    <w:rsid w:val="00A33A7D"/>
    <w:rsid w:val="00A33E3A"/>
    <w:rsid w:val="00A34F1E"/>
    <w:rsid w:val="00A35806"/>
    <w:rsid w:val="00A374CE"/>
    <w:rsid w:val="00A37742"/>
    <w:rsid w:val="00A4230E"/>
    <w:rsid w:val="00A42AC3"/>
    <w:rsid w:val="00A44FF1"/>
    <w:rsid w:val="00A51366"/>
    <w:rsid w:val="00A52D7C"/>
    <w:rsid w:val="00A55AA4"/>
    <w:rsid w:val="00A6065B"/>
    <w:rsid w:val="00A642AE"/>
    <w:rsid w:val="00A65D64"/>
    <w:rsid w:val="00A65F64"/>
    <w:rsid w:val="00A70A17"/>
    <w:rsid w:val="00A718C8"/>
    <w:rsid w:val="00A72241"/>
    <w:rsid w:val="00A74AD7"/>
    <w:rsid w:val="00A756D9"/>
    <w:rsid w:val="00A765FA"/>
    <w:rsid w:val="00A767A0"/>
    <w:rsid w:val="00A807A5"/>
    <w:rsid w:val="00A8135D"/>
    <w:rsid w:val="00A8576E"/>
    <w:rsid w:val="00A8581E"/>
    <w:rsid w:val="00A86F86"/>
    <w:rsid w:val="00A91302"/>
    <w:rsid w:val="00A9304C"/>
    <w:rsid w:val="00A9470D"/>
    <w:rsid w:val="00A976AF"/>
    <w:rsid w:val="00A97DE9"/>
    <w:rsid w:val="00AA1D8B"/>
    <w:rsid w:val="00AA342C"/>
    <w:rsid w:val="00AA4C27"/>
    <w:rsid w:val="00AA4D9B"/>
    <w:rsid w:val="00AA78E1"/>
    <w:rsid w:val="00AB3820"/>
    <w:rsid w:val="00AB4F91"/>
    <w:rsid w:val="00AB5BC3"/>
    <w:rsid w:val="00AB66AF"/>
    <w:rsid w:val="00AC0DF9"/>
    <w:rsid w:val="00AC501E"/>
    <w:rsid w:val="00AC69FC"/>
    <w:rsid w:val="00AD06FA"/>
    <w:rsid w:val="00AD0878"/>
    <w:rsid w:val="00AD2299"/>
    <w:rsid w:val="00AD32BB"/>
    <w:rsid w:val="00AD484F"/>
    <w:rsid w:val="00AE1609"/>
    <w:rsid w:val="00AE28FE"/>
    <w:rsid w:val="00AF0BB8"/>
    <w:rsid w:val="00AF3309"/>
    <w:rsid w:val="00AF4A93"/>
    <w:rsid w:val="00AF5C89"/>
    <w:rsid w:val="00AF60C6"/>
    <w:rsid w:val="00AF78BF"/>
    <w:rsid w:val="00B05BB3"/>
    <w:rsid w:val="00B16E34"/>
    <w:rsid w:val="00B17DEC"/>
    <w:rsid w:val="00B200CB"/>
    <w:rsid w:val="00B2373E"/>
    <w:rsid w:val="00B2435F"/>
    <w:rsid w:val="00B35526"/>
    <w:rsid w:val="00B40421"/>
    <w:rsid w:val="00B40889"/>
    <w:rsid w:val="00B414EF"/>
    <w:rsid w:val="00B41A5C"/>
    <w:rsid w:val="00B42398"/>
    <w:rsid w:val="00B42F35"/>
    <w:rsid w:val="00B47A63"/>
    <w:rsid w:val="00B51592"/>
    <w:rsid w:val="00B62CA1"/>
    <w:rsid w:val="00B67CBD"/>
    <w:rsid w:val="00B70282"/>
    <w:rsid w:val="00B707E6"/>
    <w:rsid w:val="00B7252E"/>
    <w:rsid w:val="00B72D83"/>
    <w:rsid w:val="00B75B42"/>
    <w:rsid w:val="00B81654"/>
    <w:rsid w:val="00B83589"/>
    <w:rsid w:val="00B83EA2"/>
    <w:rsid w:val="00B849D1"/>
    <w:rsid w:val="00B84A48"/>
    <w:rsid w:val="00B86FE8"/>
    <w:rsid w:val="00B94E8A"/>
    <w:rsid w:val="00BA0D53"/>
    <w:rsid w:val="00BA3C0F"/>
    <w:rsid w:val="00BA3C3A"/>
    <w:rsid w:val="00BA3E9D"/>
    <w:rsid w:val="00BA53DF"/>
    <w:rsid w:val="00BA7463"/>
    <w:rsid w:val="00BB00FC"/>
    <w:rsid w:val="00BB0AD8"/>
    <w:rsid w:val="00BB0DF3"/>
    <w:rsid w:val="00BB3E0B"/>
    <w:rsid w:val="00BB478E"/>
    <w:rsid w:val="00BC163B"/>
    <w:rsid w:val="00BC3238"/>
    <w:rsid w:val="00BC3940"/>
    <w:rsid w:val="00BC410A"/>
    <w:rsid w:val="00BC5561"/>
    <w:rsid w:val="00BD0453"/>
    <w:rsid w:val="00BD0641"/>
    <w:rsid w:val="00BD6DAF"/>
    <w:rsid w:val="00BE02A3"/>
    <w:rsid w:val="00BF0D30"/>
    <w:rsid w:val="00BF1794"/>
    <w:rsid w:val="00BF30C5"/>
    <w:rsid w:val="00BF35F7"/>
    <w:rsid w:val="00BF534E"/>
    <w:rsid w:val="00C01BA6"/>
    <w:rsid w:val="00C0239F"/>
    <w:rsid w:val="00C039F1"/>
    <w:rsid w:val="00C044AB"/>
    <w:rsid w:val="00C04634"/>
    <w:rsid w:val="00C07FA8"/>
    <w:rsid w:val="00C131B7"/>
    <w:rsid w:val="00C178FF"/>
    <w:rsid w:val="00C26FB7"/>
    <w:rsid w:val="00C301F4"/>
    <w:rsid w:val="00C30D1B"/>
    <w:rsid w:val="00C313B1"/>
    <w:rsid w:val="00C32F7D"/>
    <w:rsid w:val="00C33ACB"/>
    <w:rsid w:val="00C37DFE"/>
    <w:rsid w:val="00C41487"/>
    <w:rsid w:val="00C42068"/>
    <w:rsid w:val="00C42BC2"/>
    <w:rsid w:val="00C44610"/>
    <w:rsid w:val="00C54532"/>
    <w:rsid w:val="00C55306"/>
    <w:rsid w:val="00C574AC"/>
    <w:rsid w:val="00C606EB"/>
    <w:rsid w:val="00C609FF"/>
    <w:rsid w:val="00C6664D"/>
    <w:rsid w:val="00C7591A"/>
    <w:rsid w:val="00C75960"/>
    <w:rsid w:val="00C75CB1"/>
    <w:rsid w:val="00C779A1"/>
    <w:rsid w:val="00C81847"/>
    <w:rsid w:val="00C85691"/>
    <w:rsid w:val="00C8771C"/>
    <w:rsid w:val="00C87DFD"/>
    <w:rsid w:val="00C92443"/>
    <w:rsid w:val="00C95033"/>
    <w:rsid w:val="00C96533"/>
    <w:rsid w:val="00CA537F"/>
    <w:rsid w:val="00CB12A5"/>
    <w:rsid w:val="00CB235F"/>
    <w:rsid w:val="00CB3341"/>
    <w:rsid w:val="00CC21B6"/>
    <w:rsid w:val="00CC2679"/>
    <w:rsid w:val="00CC5F60"/>
    <w:rsid w:val="00CC7620"/>
    <w:rsid w:val="00CD7FAA"/>
    <w:rsid w:val="00CE0579"/>
    <w:rsid w:val="00CE3089"/>
    <w:rsid w:val="00CE6B42"/>
    <w:rsid w:val="00CF0AAA"/>
    <w:rsid w:val="00CF0B61"/>
    <w:rsid w:val="00CF1C12"/>
    <w:rsid w:val="00CF2C22"/>
    <w:rsid w:val="00D006E0"/>
    <w:rsid w:val="00D012BE"/>
    <w:rsid w:val="00D0145F"/>
    <w:rsid w:val="00D0166B"/>
    <w:rsid w:val="00D02C74"/>
    <w:rsid w:val="00D047CB"/>
    <w:rsid w:val="00D10327"/>
    <w:rsid w:val="00D11CCD"/>
    <w:rsid w:val="00D13610"/>
    <w:rsid w:val="00D17E8C"/>
    <w:rsid w:val="00D22B96"/>
    <w:rsid w:val="00D22E20"/>
    <w:rsid w:val="00D2543E"/>
    <w:rsid w:val="00D31D33"/>
    <w:rsid w:val="00D36D7E"/>
    <w:rsid w:val="00D37E17"/>
    <w:rsid w:val="00D41533"/>
    <w:rsid w:val="00D41E99"/>
    <w:rsid w:val="00D43261"/>
    <w:rsid w:val="00D45684"/>
    <w:rsid w:val="00D45D17"/>
    <w:rsid w:val="00D5160D"/>
    <w:rsid w:val="00D51867"/>
    <w:rsid w:val="00D54F3D"/>
    <w:rsid w:val="00D56277"/>
    <w:rsid w:val="00D5774F"/>
    <w:rsid w:val="00D60847"/>
    <w:rsid w:val="00D61127"/>
    <w:rsid w:val="00D63C4A"/>
    <w:rsid w:val="00D662FD"/>
    <w:rsid w:val="00D70E05"/>
    <w:rsid w:val="00D74F75"/>
    <w:rsid w:val="00D81A67"/>
    <w:rsid w:val="00D83C22"/>
    <w:rsid w:val="00D86D92"/>
    <w:rsid w:val="00D876F1"/>
    <w:rsid w:val="00D91E91"/>
    <w:rsid w:val="00D92367"/>
    <w:rsid w:val="00D932F1"/>
    <w:rsid w:val="00D96ECD"/>
    <w:rsid w:val="00D97902"/>
    <w:rsid w:val="00DA00F5"/>
    <w:rsid w:val="00DA25F8"/>
    <w:rsid w:val="00DA37A8"/>
    <w:rsid w:val="00DA4B45"/>
    <w:rsid w:val="00DA70F0"/>
    <w:rsid w:val="00DB2633"/>
    <w:rsid w:val="00DB48BE"/>
    <w:rsid w:val="00DB6732"/>
    <w:rsid w:val="00DB6754"/>
    <w:rsid w:val="00DB6998"/>
    <w:rsid w:val="00DC10E5"/>
    <w:rsid w:val="00DC1A59"/>
    <w:rsid w:val="00DC2F8F"/>
    <w:rsid w:val="00DC3EBA"/>
    <w:rsid w:val="00DC4C64"/>
    <w:rsid w:val="00DC63BE"/>
    <w:rsid w:val="00DD03A7"/>
    <w:rsid w:val="00DD2180"/>
    <w:rsid w:val="00DD218C"/>
    <w:rsid w:val="00DD7DB4"/>
    <w:rsid w:val="00DE1B83"/>
    <w:rsid w:val="00DE2302"/>
    <w:rsid w:val="00DE2B48"/>
    <w:rsid w:val="00DF1DF2"/>
    <w:rsid w:val="00DF5CC4"/>
    <w:rsid w:val="00DF7FF5"/>
    <w:rsid w:val="00E00523"/>
    <w:rsid w:val="00E03639"/>
    <w:rsid w:val="00E03C7F"/>
    <w:rsid w:val="00E05702"/>
    <w:rsid w:val="00E06E16"/>
    <w:rsid w:val="00E11623"/>
    <w:rsid w:val="00E12F54"/>
    <w:rsid w:val="00E15A34"/>
    <w:rsid w:val="00E1769A"/>
    <w:rsid w:val="00E25FA8"/>
    <w:rsid w:val="00E307CE"/>
    <w:rsid w:val="00E36F91"/>
    <w:rsid w:val="00E4102D"/>
    <w:rsid w:val="00E50E19"/>
    <w:rsid w:val="00E542E4"/>
    <w:rsid w:val="00E552C2"/>
    <w:rsid w:val="00E577FC"/>
    <w:rsid w:val="00E60AF9"/>
    <w:rsid w:val="00E629DE"/>
    <w:rsid w:val="00E62AAE"/>
    <w:rsid w:val="00E66A71"/>
    <w:rsid w:val="00E70E3C"/>
    <w:rsid w:val="00E751C2"/>
    <w:rsid w:val="00E80DC5"/>
    <w:rsid w:val="00E81AC0"/>
    <w:rsid w:val="00E824C2"/>
    <w:rsid w:val="00E82BE7"/>
    <w:rsid w:val="00E849F8"/>
    <w:rsid w:val="00E863EB"/>
    <w:rsid w:val="00E87F18"/>
    <w:rsid w:val="00E903EC"/>
    <w:rsid w:val="00E9097F"/>
    <w:rsid w:val="00E9136D"/>
    <w:rsid w:val="00E91C4A"/>
    <w:rsid w:val="00E955CC"/>
    <w:rsid w:val="00E96DDB"/>
    <w:rsid w:val="00EA0939"/>
    <w:rsid w:val="00EA1AE7"/>
    <w:rsid w:val="00EA4579"/>
    <w:rsid w:val="00EA7BE9"/>
    <w:rsid w:val="00EA7F05"/>
    <w:rsid w:val="00EB0D6C"/>
    <w:rsid w:val="00EB4A8E"/>
    <w:rsid w:val="00EB5371"/>
    <w:rsid w:val="00EC1DE8"/>
    <w:rsid w:val="00EC28D5"/>
    <w:rsid w:val="00EC4B02"/>
    <w:rsid w:val="00EC74F5"/>
    <w:rsid w:val="00EC77D8"/>
    <w:rsid w:val="00ED239E"/>
    <w:rsid w:val="00ED2DA8"/>
    <w:rsid w:val="00ED35DA"/>
    <w:rsid w:val="00ED39C0"/>
    <w:rsid w:val="00ED52A0"/>
    <w:rsid w:val="00EE06C0"/>
    <w:rsid w:val="00EE56D7"/>
    <w:rsid w:val="00EF05EF"/>
    <w:rsid w:val="00EF2595"/>
    <w:rsid w:val="00EF2A0B"/>
    <w:rsid w:val="00EF4297"/>
    <w:rsid w:val="00EF4EBD"/>
    <w:rsid w:val="00EF6F55"/>
    <w:rsid w:val="00F00418"/>
    <w:rsid w:val="00F00519"/>
    <w:rsid w:val="00F04EC6"/>
    <w:rsid w:val="00F05E71"/>
    <w:rsid w:val="00F0743D"/>
    <w:rsid w:val="00F07607"/>
    <w:rsid w:val="00F14088"/>
    <w:rsid w:val="00F16BE2"/>
    <w:rsid w:val="00F17541"/>
    <w:rsid w:val="00F20449"/>
    <w:rsid w:val="00F2535D"/>
    <w:rsid w:val="00F25A65"/>
    <w:rsid w:val="00F31ACF"/>
    <w:rsid w:val="00F33DB2"/>
    <w:rsid w:val="00F34E32"/>
    <w:rsid w:val="00F35F13"/>
    <w:rsid w:val="00F40768"/>
    <w:rsid w:val="00F41C39"/>
    <w:rsid w:val="00F4274D"/>
    <w:rsid w:val="00F42E41"/>
    <w:rsid w:val="00F434D4"/>
    <w:rsid w:val="00F46287"/>
    <w:rsid w:val="00F51BE4"/>
    <w:rsid w:val="00F53464"/>
    <w:rsid w:val="00F647F1"/>
    <w:rsid w:val="00F71BBB"/>
    <w:rsid w:val="00F7391E"/>
    <w:rsid w:val="00F74E5C"/>
    <w:rsid w:val="00F751B9"/>
    <w:rsid w:val="00F85B1F"/>
    <w:rsid w:val="00F959C9"/>
    <w:rsid w:val="00FA4465"/>
    <w:rsid w:val="00FA4763"/>
    <w:rsid w:val="00FB5BC8"/>
    <w:rsid w:val="00FB5F3B"/>
    <w:rsid w:val="00FC362F"/>
    <w:rsid w:val="00FC6A3D"/>
    <w:rsid w:val="00FD3BBC"/>
    <w:rsid w:val="00FE1070"/>
    <w:rsid w:val="00FE2BB1"/>
    <w:rsid w:val="00FE5621"/>
    <w:rsid w:val="00FE571C"/>
    <w:rsid w:val="00FF15AF"/>
    <w:rsid w:val="00FF4F92"/>
    <w:rsid w:val="00FF670B"/>
    <w:rsid w:val="00FF6F10"/>
    <w:rsid w:val="00FF7A2C"/>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45CF01"/>
  <w15:docId w15:val="{7DFFCBD6-F7CB-4F7A-AEC6-1C69746FDB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MX" w:eastAsia="es-419"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keepLines/>
      <w:spacing w:after="0" w:line="240" w:lineRule="auto"/>
      <w:outlineLvl w:val="1"/>
    </w:pPr>
    <w:rPr>
      <w:rFonts w:ascii="Aptos" w:eastAsia="Aptos" w:hAnsi="Aptos" w:cs="Aptos"/>
      <w:color w:val="103761"/>
      <w:sz w:val="24"/>
      <w:szCs w:val="24"/>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Encabezado">
    <w:name w:val="header"/>
    <w:basedOn w:val="Normal"/>
    <w:link w:val="EncabezadoCar"/>
    <w:uiPriority w:val="99"/>
    <w:unhideWhenUsed/>
    <w:rsid w:val="009068C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8CD"/>
  </w:style>
  <w:style w:type="paragraph" w:styleId="Piedepgina">
    <w:name w:val="footer"/>
    <w:basedOn w:val="Normal"/>
    <w:link w:val="PiedepginaCar"/>
    <w:uiPriority w:val="99"/>
    <w:unhideWhenUsed/>
    <w:rsid w:val="009068C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8CD"/>
  </w:style>
  <w:style w:type="table" w:styleId="Tablaconcuadrcula">
    <w:name w:val="Table Grid"/>
    <w:basedOn w:val="Tablanormal"/>
    <w:rsid w:val="00906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aliases w:val="Figura"/>
    <w:basedOn w:val="Normal"/>
    <w:link w:val="Textoindependiente2Car"/>
    <w:rsid w:val="00016063"/>
    <w:pPr>
      <w:spacing w:after="0" w:line="240" w:lineRule="atLeast"/>
      <w:jc w:val="both"/>
    </w:pPr>
    <w:rPr>
      <w:rFonts w:ascii="Arial" w:eastAsia="Times New Roman" w:hAnsi="Arial" w:cs="Times New Roman"/>
      <w:sz w:val="24"/>
      <w:szCs w:val="20"/>
      <w:lang w:val="es-ES_tradnl" w:eastAsia="es-ES"/>
    </w:rPr>
  </w:style>
  <w:style w:type="character" w:customStyle="1" w:styleId="Textoindependiente2Car">
    <w:name w:val="Texto independiente 2 Car"/>
    <w:aliases w:val="Figura Car"/>
    <w:basedOn w:val="Fuentedeprrafopredeter"/>
    <w:link w:val="Textoindependiente2"/>
    <w:rsid w:val="00016063"/>
    <w:rPr>
      <w:rFonts w:ascii="Arial" w:eastAsia="Times New Roman" w:hAnsi="Arial" w:cs="Times New Roman"/>
      <w:sz w:val="24"/>
      <w:szCs w:val="20"/>
      <w:lang w:val="es-ES_tradnl" w:eastAsia="es-ES"/>
    </w:rPr>
  </w:style>
  <w:style w:type="paragraph" w:styleId="Prrafodelista">
    <w:name w:val="List Paragraph"/>
    <w:aliases w:val="titulo 3,lista numerada,Subtítulo 4,titulo 4,Suntítulo 4,Lista numerada,Numbered Para 1,Dot pt,No Spacing1,List Paragraph Char Char Char,Indicator Text,List Paragraph1,Bullet Points,MAIN CONTENT,List Paragraph12,List,Bullets,Bolita,BOLA"/>
    <w:basedOn w:val="Normal"/>
    <w:link w:val="PrrafodelistaCar"/>
    <w:uiPriority w:val="34"/>
    <w:qFormat/>
    <w:rsid w:val="00016063"/>
    <w:pPr>
      <w:spacing w:after="0" w:line="240" w:lineRule="auto"/>
      <w:ind w:left="720"/>
    </w:pPr>
    <w:rPr>
      <w:rFonts w:cs="Times New Roman"/>
      <w:lang w:eastAsia="es-CO"/>
    </w:rPr>
  </w:style>
  <w:style w:type="character" w:customStyle="1" w:styleId="PrrafodelistaCar">
    <w:name w:val="Párrafo de lista Car"/>
    <w:aliases w:val="titulo 3 Car,lista numerada Car,Subtítulo 4 Car,titulo 4 Car,Suntítulo 4 Car,Lista numerada Car,Numbered Para 1 Car,Dot pt Car,No Spacing1 Car,List Paragraph Char Char Char Car,Indicator Text Car,List Paragraph1 Car,MAIN CONTENT Car"/>
    <w:basedOn w:val="Fuentedeprrafopredeter"/>
    <w:link w:val="Prrafodelista"/>
    <w:uiPriority w:val="34"/>
    <w:qFormat/>
    <w:locked/>
    <w:rsid w:val="00016063"/>
    <w:rPr>
      <w:rFonts w:ascii="Calibri" w:eastAsia="Calibri" w:hAnsi="Calibri" w:cs="Times New Roman"/>
      <w:lang w:eastAsia="es-CO"/>
    </w:rPr>
  </w:style>
  <w:style w:type="paragraph" w:customStyle="1" w:styleId="v1msobodytext2">
    <w:name w:val="v1msobodytext2"/>
    <w:basedOn w:val="Normal"/>
    <w:rsid w:val="00016063"/>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pf0">
    <w:name w:val="pf0"/>
    <w:basedOn w:val="Normal"/>
    <w:rsid w:val="006E08C1"/>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ui-provider">
    <w:name w:val="ui-provider"/>
    <w:basedOn w:val="Fuentedeprrafopredeter"/>
    <w:rsid w:val="006E08C1"/>
  </w:style>
  <w:style w:type="character" w:styleId="Refdecomentario">
    <w:name w:val="annotation reference"/>
    <w:basedOn w:val="Fuentedeprrafopredeter"/>
    <w:uiPriority w:val="99"/>
    <w:semiHidden/>
    <w:unhideWhenUsed/>
    <w:rsid w:val="006032CB"/>
    <w:rPr>
      <w:sz w:val="16"/>
      <w:szCs w:val="16"/>
    </w:rPr>
  </w:style>
  <w:style w:type="paragraph" w:styleId="Textocomentario">
    <w:name w:val="annotation text"/>
    <w:basedOn w:val="Normal"/>
    <w:link w:val="TextocomentarioCar"/>
    <w:uiPriority w:val="99"/>
    <w:unhideWhenUsed/>
    <w:rsid w:val="006032CB"/>
    <w:pPr>
      <w:spacing w:line="240" w:lineRule="auto"/>
    </w:pPr>
    <w:rPr>
      <w:sz w:val="20"/>
      <w:szCs w:val="20"/>
    </w:rPr>
  </w:style>
  <w:style w:type="character" w:customStyle="1" w:styleId="TextocomentarioCar">
    <w:name w:val="Texto comentario Car"/>
    <w:basedOn w:val="Fuentedeprrafopredeter"/>
    <w:link w:val="Textocomentario"/>
    <w:uiPriority w:val="99"/>
    <w:rsid w:val="006032CB"/>
    <w:rPr>
      <w:kern w:val="2"/>
      <w:sz w:val="20"/>
      <w:szCs w:val="20"/>
    </w:rPr>
  </w:style>
  <w:style w:type="paragraph" w:styleId="Asuntodelcomentario">
    <w:name w:val="annotation subject"/>
    <w:basedOn w:val="Textocomentario"/>
    <w:next w:val="Textocomentario"/>
    <w:link w:val="AsuntodelcomentarioCar"/>
    <w:uiPriority w:val="99"/>
    <w:semiHidden/>
    <w:unhideWhenUsed/>
    <w:rsid w:val="006032CB"/>
    <w:rPr>
      <w:b/>
      <w:bCs/>
    </w:rPr>
  </w:style>
  <w:style w:type="character" w:customStyle="1" w:styleId="AsuntodelcomentarioCar">
    <w:name w:val="Asunto del comentario Car"/>
    <w:basedOn w:val="TextocomentarioCar"/>
    <w:link w:val="Asuntodelcomentario"/>
    <w:uiPriority w:val="99"/>
    <w:semiHidden/>
    <w:rsid w:val="006032CB"/>
    <w:rPr>
      <w:b/>
      <w:bCs/>
      <w:kern w:val="2"/>
      <w:sz w:val="20"/>
      <w:szCs w:val="20"/>
    </w:rPr>
  </w:style>
  <w:style w:type="character" w:customStyle="1" w:styleId="Mencionar1">
    <w:name w:val="Mencionar1"/>
    <w:basedOn w:val="Fuentedeprrafopredeter"/>
    <w:uiPriority w:val="99"/>
    <w:unhideWhenUsed/>
    <w:rsid w:val="00063BC9"/>
    <w:rPr>
      <w:color w:val="2B579A"/>
      <w:shd w:val="clear" w:color="auto" w:fill="E1DFDD"/>
    </w:rPr>
  </w:style>
  <w:style w:type="character" w:styleId="Hipervnculo">
    <w:name w:val="Hyperlink"/>
    <w:basedOn w:val="Fuentedeprrafopredeter"/>
    <w:uiPriority w:val="99"/>
    <w:unhideWhenUsed/>
    <w:rsid w:val="00063BC9"/>
    <w:rPr>
      <w:color w:val="0563C1" w:themeColor="hyperlink"/>
      <w:u w:val="single"/>
    </w:rPr>
  </w:style>
  <w:style w:type="character" w:customStyle="1" w:styleId="Mencinsinresolver1">
    <w:name w:val="Mención sin resolver1"/>
    <w:basedOn w:val="Fuentedeprrafopredeter"/>
    <w:uiPriority w:val="99"/>
    <w:semiHidden/>
    <w:unhideWhenUsed/>
    <w:rsid w:val="004D4D9D"/>
    <w:rPr>
      <w:color w:val="605E5C"/>
      <w:shd w:val="clear" w:color="auto" w:fill="E1DFDD"/>
    </w:rPr>
  </w:style>
  <w:style w:type="paragraph" w:styleId="Revisin">
    <w:name w:val="Revision"/>
    <w:hidden/>
    <w:uiPriority w:val="99"/>
    <w:semiHidden/>
    <w:rsid w:val="00235B46"/>
    <w:pPr>
      <w:spacing w:after="0" w:line="240" w:lineRule="auto"/>
    </w:pPr>
    <w:rPr>
      <w:kern w:val="2"/>
    </w:rPr>
  </w:style>
  <w:style w:type="character" w:customStyle="1" w:styleId="Ttulo2Car">
    <w:name w:val="Título 2 Car"/>
    <w:basedOn w:val="Fuentedeprrafopredeter"/>
    <w:uiPriority w:val="9"/>
    <w:rsid w:val="0086769C"/>
    <w:rPr>
      <w:rFonts w:ascii="Aptos" w:eastAsiaTheme="majorEastAsia" w:hAnsi="Aptos" w:cstheme="majorBidi"/>
      <w:color w:val="103761"/>
      <w:sz w:val="24"/>
      <w:szCs w:val="26"/>
      <w:lang w:eastAsia="es-MX"/>
    </w:rPr>
  </w:style>
  <w:style w:type="paragraph" w:styleId="NormalWeb">
    <w:name w:val="Normal (Web)"/>
    <w:basedOn w:val="Normal"/>
    <w:uiPriority w:val="99"/>
    <w:semiHidden/>
    <w:unhideWhenUsed/>
    <w:rsid w:val="00077B44"/>
    <w:rPr>
      <w:rFonts w:ascii="Times New Roman" w:hAnsi="Times New Roman" w:cs="Times New Roman"/>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C313B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313B1"/>
    <w:rPr>
      <w:rFonts w:ascii="Segoe UI" w:hAnsi="Segoe UI" w:cs="Segoe UI"/>
      <w:sz w:val="18"/>
      <w:szCs w:val="18"/>
    </w:rPr>
  </w:style>
  <w:style w:type="paragraph" w:customStyle="1" w:styleId="FirstParagraph">
    <w:name w:val="First Paragraph"/>
    <w:basedOn w:val="Textoindependiente"/>
    <w:next w:val="Textoindependiente"/>
    <w:qFormat/>
    <w:rsid w:val="003D59FD"/>
    <w:pPr>
      <w:spacing w:before="180" w:after="180" w:line="240" w:lineRule="auto"/>
    </w:pPr>
    <w:rPr>
      <w:rFonts w:asciiTheme="minorHAnsi" w:eastAsiaTheme="minorHAnsi" w:hAnsiTheme="minorHAnsi" w:cstheme="minorBidi"/>
      <w:sz w:val="24"/>
      <w:szCs w:val="24"/>
      <w:lang w:val="en-US" w:eastAsia="en-US"/>
    </w:rPr>
  </w:style>
  <w:style w:type="paragraph" w:styleId="Textoindependiente">
    <w:name w:val="Body Text"/>
    <w:basedOn w:val="Normal"/>
    <w:link w:val="TextoindependienteCar"/>
    <w:uiPriority w:val="99"/>
    <w:semiHidden/>
    <w:unhideWhenUsed/>
    <w:rsid w:val="003D59FD"/>
    <w:pPr>
      <w:spacing w:after="120"/>
    </w:pPr>
  </w:style>
  <w:style w:type="character" w:customStyle="1" w:styleId="TextoindependienteCar">
    <w:name w:val="Texto independiente Car"/>
    <w:basedOn w:val="Fuentedeprrafopredeter"/>
    <w:link w:val="Textoindependiente"/>
    <w:uiPriority w:val="99"/>
    <w:semiHidden/>
    <w:rsid w:val="003D59FD"/>
  </w:style>
  <w:style w:type="character" w:styleId="Fuerte">
    <w:name w:val="Strong"/>
    <w:basedOn w:val="Fuentedeprrafopredeter"/>
    <w:uiPriority w:val="22"/>
    <w:qFormat/>
    <w:rsid w:val="0038488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62212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funcionpublica.gov.co/eva/gestornormativo/norma.php?i=76608"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u5bMu9WKqSShHmYuGOs5LjEKQA==">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2B42976-81AB-44DD-88F1-730F47713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10285</Words>
  <Characters>55848</Characters>
  <Application>Microsoft Office Word</Application>
  <DocSecurity>0</DocSecurity>
  <Lines>809</Lines>
  <Paragraphs>216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Ambiente</dc:creator>
  <cp:lastModifiedBy>DIANA HOLGUIN</cp:lastModifiedBy>
  <cp:revision>3</cp:revision>
  <cp:lastPrinted>2026-02-02T20:52:00Z</cp:lastPrinted>
  <dcterms:created xsi:type="dcterms:W3CDTF">2026-07-09T19:20:00Z</dcterms:created>
  <dcterms:modified xsi:type="dcterms:W3CDTF">2026-07-10T23:28:00Z</dcterms:modified>
</cp:coreProperties>
</file>